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2C02C9" w14:textId="076B13E2" w:rsidR="008A2C71" w:rsidRPr="00CE0424" w:rsidRDefault="008A2C71" w:rsidP="008A2C71">
      <w:pPr>
        <w:pStyle w:val="3GPPHeader"/>
        <w:spacing w:after="60"/>
        <w:rPr>
          <w:sz w:val="32"/>
          <w:szCs w:val="32"/>
          <w:highlight w:val="yellow"/>
        </w:rPr>
      </w:pPr>
      <w:r w:rsidRPr="00CE0424">
        <w:t>3GPP TSG-RAN WG</w:t>
      </w:r>
      <w:r>
        <w:t>1</w:t>
      </w:r>
      <w:r w:rsidRPr="00CE0424">
        <w:t xml:space="preserve"> </w:t>
      </w:r>
      <w:r>
        <w:t xml:space="preserve">Meeting </w:t>
      </w:r>
      <w:r w:rsidRPr="00CE0424">
        <w:t>#</w:t>
      </w:r>
      <w:r>
        <w:t>101-e</w:t>
      </w:r>
      <w:r w:rsidRPr="00CE0424">
        <w:tab/>
      </w:r>
      <w:r w:rsidRPr="00FB6421">
        <w:rPr>
          <w:sz w:val="32"/>
          <w:szCs w:val="32"/>
        </w:rPr>
        <w:t>R1-20</w:t>
      </w:r>
      <w:r w:rsidR="00D67DBB" w:rsidRPr="00FB6421">
        <w:rPr>
          <w:sz w:val="32"/>
          <w:szCs w:val="32"/>
        </w:rPr>
        <w:t>03849</w:t>
      </w:r>
    </w:p>
    <w:p w14:paraId="5073AAFE" w14:textId="77777777" w:rsidR="008A2C71" w:rsidRPr="00CE0424" w:rsidRDefault="008A2C71" w:rsidP="008A2C71">
      <w:pPr>
        <w:pStyle w:val="3GPPHeader"/>
      </w:pPr>
      <w:r>
        <w:t>e-Meeting</w:t>
      </w:r>
      <w:r w:rsidRPr="009027D4">
        <w:t>, 2</w:t>
      </w:r>
      <w:r>
        <w:t>5</w:t>
      </w:r>
      <w:r w:rsidRPr="009B02A0">
        <w:rPr>
          <w:vertAlign w:val="superscript"/>
        </w:rPr>
        <w:t>th</w:t>
      </w:r>
      <w:r>
        <w:t xml:space="preserve"> May – 5</w:t>
      </w:r>
      <w:r w:rsidRPr="009B02A0">
        <w:rPr>
          <w:vertAlign w:val="superscript"/>
        </w:rPr>
        <w:t>th</w:t>
      </w:r>
      <w:r>
        <w:t xml:space="preserve"> June, </w:t>
      </w:r>
      <w:r w:rsidRPr="009027D4">
        <w:t>2020</w:t>
      </w:r>
    </w:p>
    <w:p w14:paraId="6EFAF916" w14:textId="77777777" w:rsidR="008A2C71" w:rsidRPr="004165CE" w:rsidRDefault="008A2C71" w:rsidP="008A2C71">
      <w:pPr>
        <w:pStyle w:val="3GPPHeader"/>
        <w:rPr>
          <w:sz w:val="22"/>
        </w:rPr>
      </w:pPr>
      <w:r w:rsidRPr="004165CE">
        <w:rPr>
          <w:sz w:val="22"/>
        </w:rPr>
        <w:t>Agenda Item:</w:t>
      </w:r>
      <w:r w:rsidRPr="004165CE">
        <w:rPr>
          <w:sz w:val="22"/>
        </w:rPr>
        <w:tab/>
        <w:t>8.1.1</w:t>
      </w:r>
    </w:p>
    <w:p w14:paraId="2D32B49C" w14:textId="77777777" w:rsidR="008A2C71" w:rsidRPr="00CE0424" w:rsidRDefault="008A2C71" w:rsidP="008A2C71">
      <w:pPr>
        <w:pStyle w:val="3GPPHeader"/>
        <w:rPr>
          <w:sz w:val="22"/>
        </w:rPr>
      </w:pPr>
      <w:r>
        <w:rPr>
          <w:sz w:val="22"/>
        </w:rPr>
        <w:t>Source:</w:t>
      </w:r>
      <w:r w:rsidRPr="00CE0424">
        <w:rPr>
          <w:sz w:val="22"/>
        </w:rPr>
        <w:tab/>
        <w:t>Ericsson</w:t>
      </w:r>
    </w:p>
    <w:p w14:paraId="0D478E2E" w14:textId="77777777" w:rsidR="008A2C71" w:rsidRPr="00CE0424" w:rsidRDefault="008A2C71" w:rsidP="008A2C71">
      <w:pPr>
        <w:pStyle w:val="3GPPHeader"/>
        <w:rPr>
          <w:sz w:val="22"/>
        </w:rPr>
      </w:pPr>
      <w:r>
        <w:rPr>
          <w:sz w:val="22"/>
        </w:rPr>
        <w:t>Title:</w:t>
      </w:r>
      <w:r w:rsidRPr="00CE0424">
        <w:rPr>
          <w:sz w:val="22"/>
        </w:rPr>
        <w:tab/>
      </w:r>
      <w:r w:rsidRPr="00F12222">
        <w:rPr>
          <w:sz w:val="22"/>
        </w:rPr>
        <w:t>On NR operations in 52.6 to 71 GHz</w:t>
      </w:r>
    </w:p>
    <w:p w14:paraId="0D263575" w14:textId="77777777" w:rsidR="008A2C71" w:rsidRPr="00CE0424" w:rsidRDefault="008A2C71" w:rsidP="008A2C71">
      <w:pPr>
        <w:pStyle w:val="3GPPHeader"/>
        <w:rPr>
          <w:sz w:val="22"/>
        </w:rPr>
      </w:pPr>
      <w:r w:rsidRPr="00CE0424">
        <w:rPr>
          <w:sz w:val="22"/>
        </w:rPr>
        <w:t>Document for:</w:t>
      </w:r>
      <w:r w:rsidRPr="00CE0424">
        <w:rPr>
          <w:sz w:val="22"/>
        </w:rPr>
        <w:tab/>
      </w:r>
      <w:r w:rsidRPr="009027D4">
        <w:rPr>
          <w:sz w:val="22"/>
        </w:rPr>
        <w:t>Discussion, Decision</w:t>
      </w:r>
    </w:p>
    <w:p w14:paraId="0DDD8C91" w14:textId="77777777" w:rsidR="008A2C71" w:rsidRPr="00CE0424" w:rsidRDefault="008A2C71" w:rsidP="008A2C71">
      <w:pPr>
        <w:pStyle w:val="Heading1"/>
      </w:pPr>
      <w:r>
        <w:t>1</w:t>
      </w:r>
      <w:r>
        <w:tab/>
      </w:r>
      <w:r w:rsidRPr="00CE0424">
        <w:t>Introduction</w:t>
      </w:r>
    </w:p>
    <w:p w14:paraId="07665FF6" w14:textId="77777777" w:rsidR="008A2C71" w:rsidRPr="00EA0A41" w:rsidRDefault="008A2C71" w:rsidP="008A2C71">
      <w:pPr>
        <w:pStyle w:val="BodyText"/>
      </w:pPr>
      <w:r w:rsidRPr="00EA0A41">
        <w:t>NR specifications have been developed in Rel-15 and Rel-16 to operate in frequencies up to 52.6 GHz with the following two frequency ranges:</w:t>
      </w:r>
    </w:p>
    <w:p w14:paraId="7D7C0634" w14:textId="77777777" w:rsidR="008A2C71" w:rsidRPr="00EA0A41" w:rsidRDefault="008A2C71" w:rsidP="008A2C71">
      <w:pPr>
        <w:pStyle w:val="BodyText"/>
        <w:numPr>
          <w:ilvl w:val="0"/>
          <w:numId w:val="25"/>
        </w:numPr>
      </w:pPr>
      <w:r w:rsidRPr="00EA0A41">
        <w:t>FR1 spanning from 410 MHz to 7.125 GHz</w:t>
      </w:r>
    </w:p>
    <w:p w14:paraId="1A06EEAE" w14:textId="77777777" w:rsidR="008A2C71" w:rsidRPr="00EA0A41" w:rsidRDefault="008A2C71" w:rsidP="008A2C71">
      <w:pPr>
        <w:pStyle w:val="BodyText"/>
        <w:numPr>
          <w:ilvl w:val="0"/>
          <w:numId w:val="25"/>
        </w:numPr>
      </w:pPr>
      <w:r w:rsidRPr="00EA0A41">
        <w:t>FR2 spanning from 24.25 GHz to 52.6 GHz</w:t>
      </w:r>
    </w:p>
    <w:p w14:paraId="16FF515F" w14:textId="233E7C2B" w:rsidR="008A2C71" w:rsidRPr="00EA0A41" w:rsidRDefault="008A2C71" w:rsidP="008A2C71">
      <w:pPr>
        <w:pStyle w:val="BodyText"/>
      </w:pPr>
      <w:r w:rsidRPr="00EA0A41">
        <w:t xml:space="preserve">As an initial effort to enable and optimize 3GPP NR system for operation in above 52.6GHz, 3GPP RAN has studied requirements for NR beyond 52.6GHz. Several challenges such as higher phase noise, larger propagation loss due to high atmospheric absorption, lower power amplifier efficiency, and strong power spectral density regulatory requirements in unlicensed bands, compared to lower frequency bands, have been identified in TR 38.807 </w:t>
      </w:r>
      <w:r>
        <w:fldChar w:fldCharType="begin"/>
      </w:r>
      <w:r w:rsidRPr="00EA0A41">
        <w:instrText xml:space="preserve"> REF _Ref37858330 \r \h </w:instrText>
      </w:r>
      <w:r>
        <w:fldChar w:fldCharType="separate"/>
      </w:r>
      <w:r w:rsidR="005A26D8">
        <w:t>[1]</w:t>
      </w:r>
      <w:r>
        <w:fldChar w:fldCharType="end"/>
      </w:r>
      <w:r w:rsidRPr="00EA0A41">
        <w:t xml:space="preserve">. </w:t>
      </w:r>
    </w:p>
    <w:p w14:paraId="5BE159EA" w14:textId="3AB4ACF1" w:rsidR="008A2C71" w:rsidRPr="00EA0A41" w:rsidRDefault="008A2C71" w:rsidP="008A2C71">
      <w:pPr>
        <w:pStyle w:val="BodyText"/>
      </w:pPr>
      <w:r w:rsidRPr="00EA0A41">
        <w:t xml:space="preserve">The report further </w:t>
      </w:r>
      <w:r>
        <w:t>identifies</w:t>
      </w:r>
      <w:r w:rsidRPr="00EA0A41">
        <w:t xml:space="preserve"> the global availability of bands in the 52.6</w:t>
      </w:r>
      <w:r>
        <w:t xml:space="preserve"> – </w:t>
      </w:r>
      <w:r w:rsidRPr="00EA0A41">
        <w:t>71</w:t>
      </w:r>
      <w:r>
        <w:t xml:space="preserve"> </w:t>
      </w:r>
      <w:r w:rsidRPr="00EA0A41">
        <w:t xml:space="preserve">GHz range, including the original 60 GHz band (57 – 66 GHz) and extended 60 GHz band (57 – 71 GHz). Moreover, WRC19 recently identified the 66 – 71 GHz frequency range for IMT operation in certain regions. Consequently, a new SI </w:t>
      </w:r>
      <w:r>
        <w:fldChar w:fldCharType="begin"/>
      </w:r>
      <w:r w:rsidRPr="00EA0A41">
        <w:instrText xml:space="preserve"> REF _Ref37859208 \r \h </w:instrText>
      </w:r>
      <w:r>
        <w:fldChar w:fldCharType="separate"/>
      </w:r>
      <w:r w:rsidR="005A26D8">
        <w:t>[2]</w:t>
      </w:r>
      <w:r>
        <w:fldChar w:fldCharType="end"/>
      </w:r>
      <w:r w:rsidRPr="00EA0A41">
        <w:t xml:space="preserve"> and a new WI </w:t>
      </w:r>
      <w:r>
        <w:fldChar w:fldCharType="begin"/>
      </w:r>
      <w:r w:rsidRPr="00EA0A41">
        <w:instrText xml:space="preserve"> REF _Ref37858025 \r \h </w:instrText>
      </w:r>
      <w:r>
        <w:fldChar w:fldCharType="separate"/>
      </w:r>
      <w:r w:rsidR="005A26D8">
        <w:t>[3]</w:t>
      </w:r>
      <w:r>
        <w:fldChar w:fldCharType="end"/>
      </w:r>
      <w:r w:rsidRPr="00EA0A41">
        <w:t xml:space="preserve"> were approved in RAN #86 to study and extend NR support in the frequency range of 52.6 GHz to 71 GHz.</w:t>
      </w:r>
    </w:p>
    <w:p w14:paraId="6F434CE2" w14:textId="77777777" w:rsidR="008A2C71" w:rsidRPr="00EA0A41" w:rsidRDefault="008A2C71" w:rsidP="008A2C71">
      <w:pPr>
        <w:pStyle w:val="BodyText"/>
      </w:pPr>
      <w:r w:rsidRPr="00EA0A41">
        <w:t>This study item will include the following objectives:</w:t>
      </w:r>
    </w:p>
    <w:p w14:paraId="03E96301" w14:textId="77777777" w:rsidR="008A2C71" w:rsidRPr="00236EC1" w:rsidRDefault="008A2C71" w:rsidP="008A2C71">
      <w:pPr>
        <w:pStyle w:val="BodyText"/>
        <w:numPr>
          <w:ilvl w:val="0"/>
          <w:numId w:val="23"/>
        </w:numPr>
        <w:rPr>
          <w:bCs/>
        </w:rPr>
      </w:pPr>
      <w:r w:rsidRPr="00236EC1">
        <w:rPr>
          <w:bCs/>
        </w:rPr>
        <w:t>Study of required changes to NR using existing DL/UL NR waveform to support operation between 52.6 GHz and 71 GHz</w:t>
      </w:r>
    </w:p>
    <w:p w14:paraId="2B87DC3B" w14:textId="77777777" w:rsidR="008A2C71" w:rsidRPr="00236EC1" w:rsidRDefault="008A2C71" w:rsidP="008A2C71">
      <w:pPr>
        <w:pStyle w:val="BodyText"/>
        <w:numPr>
          <w:ilvl w:val="1"/>
          <w:numId w:val="23"/>
        </w:numPr>
        <w:rPr>
          <w:bCs/>
        </w:rPr>
      </w:pPr>
      <w:r w:rsidRPr="00236EC1">
        <w:rPr>
          <w:bCs/>
        </w:rPr>
        <w:t>Study of applicable numerology including subcarrier spacing, channel BW (including maximum BW), and their impact to FR2 physical layer design to support system functionality considering practical RF impairments [RAN1</w:t>
      </w:r>
      <w:r w:rsidRPr="00EA0A41">
        <w:t>, RAN4</w:t>
      </w:r>
      <w:r w:rsidRPr="00236EC1">
        <w:rPr>
          <w:bCs/>
        </w:rPr>
        <w:t>].</w:t>
      </w:r>
    </w:p>
    <w:p w14:paraId="1618861F" w14:textId="77777777" w:rsidR="008A2C71" w:rsidRPr="00236EC1" w:rsidRDefault="008A2C71" w:rsidP="008A2C71">
      <w:pPr>
        <w:pStyle w:val="BodyText"/>
        <w:numPr>
          <w:ilvl w:val="1"/>
          <w:numId w:val="23"/>
        </w:numPr>
        <w:rPr>
          <w:bCs/>
        </w:rPr>
      </w:pPr>
      <w:r w:rsidRPr="00EA0A41">
        <w:t>Identify potential critical problems to physical signal/channels, if any [RAN1].</w:t>
      </w:r>
    </w:p>
    <w:p w14:paraId="45DE2010" w14:textId="77777777" w:rsidR="008A2C71" w:rsidRPr="00236EC1" w:rsidRDefault="008A2C71" w:rsidP="008A2C71">
      <w:pPr>
        <w:pStyle w:val="BodyText"/>
        <w:numPr>
          <w:ilvl w:val="0"/>
          <w:numId w:val="23"/>
        </w:numPr>
        <w:rPr>
          <w:bCs/>
        </w:rPr>
      </w:pPr>
      <w:r w:rsidRPr="00236EC1">
        <w:rPr>
          <w:bCs/>
        </w:rPr>
        <w:t>Study of channel access mechanism, considering potential interference to/from other nodes, assuming beam based operation, in order to comply with the regulatory requirements applicable to unlicensed spectrum for frequencies between 52.6 GHz and 71 GHz [RAN1].</w:t>
      </w:r>
    </w:p>
    <w:p w14:paraId="7580E69E" w14:textId="77777777" w:rsidR="008A2C71" w:rsidRPr="00236EC1" w:rsidRDefault="008A2C71" w:rsidP="008A2C71">
      <w:pPr>
        <w:pStyle w:val="BodyText"/>
        <w:numPr>
          <w:ilvl w:val="1"/>
          <w:numId w:val="23"/>
        </w:numPr>
        <w:rPr>
          <w:bCs/>
        </w:rPr>
      </w:pPr>
      <w:r w:rsidRPr="00236EC1">
        <w:rPr>
          <w:bCs/>
        </w:rPr>
        <w:t xml:space="preserve">Note: It is clarified that potential interference impact, if identified, may require interference mitigation solutions as part of channel access mechanism.   </w:t>
      </w:r>
    </w:p>
    <w:p w14:paraId="6D1C2F4F" w14:textId="77777777" w:rsidR="008A2C71" w:rsidRPr="00CF5C01" w:rsidRDefault="008A2C71" w:rsidP="008A2C71">
      <w:pPr>
        <w:pStyle w:val="BodyText"/>
        <w:rPr>
          <w:bCs/>
        </w:rPr>
      </w:pPr>
      <w:r w:rsidRPr="00EA0A41">
        <w:t xml:space="preserve">The objectives for the WI, according to the outcome of the study item and leveraging FR2 design to the extent possible, are to extend NR operation up to 71 GHz considering both licensed and unlicensed operation. </w:t>
      </w:r>
      <w:r>
        <w:rPr>
          <w:bCs/>
        </w:rPr>
        <w:t>T</w:t>
      </w:r>
      <w:r w:rsidRPr="00CF5C01">
        <w:rPr>
          <w:bCs/>
        </w:rPr>
        <w:t xml:space="preserve">he following </w:t>
      </w:r>
      <w:r>
        <w:rPr>
          <w:bCs/>
        </w:rPr>
        <w:t xml:space="preserve">lists </w:t>
      </w:r>
      <w:r w:rsidRPr="00CF5C01">
        <w:rPr>
          <w:bCs/>
        </w:rPr>
        <w:t>objectives</w:t>
      </w:r>
      <w:r>
        <w:rPr>
          <w:bCs/>
        </w:rPr>
        <w:t xml:space="preserve"> with RAN1 lead</w:t>
      </w:r>
      <w:r w:rsidRPr="00CF5C01">
        <w:rPr>
          <w:rFonts w:hint="eastAsia"/>
          <w:bCs/>
        </w:rPr>
        <w:t>:</w:t>
      </w:r>
    </w:p>
    <w:p w14:paraId="6D4FE9E6" w14:textId="77777777" w:rsidR="008A2C71" w:rsidRPr="00EA0A41" w:rsidRDefault="008A2C71" w:rsidP="008A2C71">
      <w:pPr>
        <w:pStyle w:val="BodyText"/>
        <w:numPr>
          <w:ilvl w:val="0"/>
          <w:numId w:val="24"/>
        </w:numPr>
      </w:pPr>
      <w:r w:rsidRPr="00EA0A41">
        <w:rPr>
          <w:rFonts w:hint="eastAsia"/>
        </w:rPr>
        <w:t>Physical layer aspects</w:t>
      </w:r>
      <w:r w:rsidRPr="00EA0A41">
        <w:t xml:space="preserve"> including [RAN1]</w:t>
      </w:r>
      <w:r w:rsidRPr="00EA0A41">
        <w:rPr>
          <w:rFonts w:hint="eastAsia"/>
        </w:rPr>
        <w:t>:</w:t>
      </w:r>
    </w:p>
    <w:p w14:paraId="2DCD14AB" w14:textId="77777777" w:rsidR="008A2C71" w:rsidRPr="00EA0A41" w:rsidRDefault="008A2C71" w:rsidP="008A2C71">
      <w:pPr>
        <w:pStyle w:val="BodyText"/>
        <w:numPr>
          <w:ilvl w:val="1"/>
          <w:numId w:val="24"/>
        </w:numPr>
      </w:pPr>
      <w:bookmarkStart w:id="0" w:name="_Hlk26996217"/>
      <w:r w:rsidRPr="00EA0A41">
        <w:t xml:space="preserve">New numerology or numerologies (µ value in 38.211) for operation in this frequency range. Addressing impact on physical signals/channels if any, as identified in the SI. </w:t>
      </w:r>
    </w:p>
    <w:bookmarkEnd w:id="0"/>
    <w:p w14:paraId="2F9E9E31" w14:textId="77777777" w:rsidR="008A2C71" w:rsidRPr="00EA0A41" w:rsidRDefault="008A2C71" w:rsidP="008A2C71">
      <w:pPr>
        <w:pStyle w:val="BodyText"/>
        <w:numPr>
          <w:ilvl w:val="1"/>
          <w:numId w:val="24"/>
        </w:numPr>
      </w:pPr>
      <w:r w:rsidRPr="00EA0A41">
        <w:t xml:space="preserve">Time line related aspects adapted to each of the new numerologies, e.g., BWP and beam switching times, HARQ scheduling, UE processing, preparation and computation times for PDSCH, PUSCH/SRS and CSI, respectively. </w:t>
      </w:r>
    </w:p>
    <w:p w14:paraId="73278EDF" w14:textId="77777777" w:rsidR="008A2C71" w:rsidRPr="00EA0A41" w:rsidRDefault="008A2C71" w:rsidP="008A2C71">
      <w:pPr>
        <w:pStyle w:val="BodyText"/>
        <w:numPr>
          <w:ilvl w:val="1"/>
          <w:numId w:val="24"/>
        </w:numPr>
      </w:pPr>
      <w:r w:rsidRPr="00EA0A41">
        <w:t xml:space="preserve">Support of up to 64 SSB beams for licensed and unlicensed operation in this frequency range. </w:t>
      </w:r>
    </w:p>
    <w:p w14:paraId="4FA0EF61" w14:textId="77777777" w:rsidR="008A2C71" w:rsidRPr="00EA0A41" w:rsidRDefault="008A2C71" w:rsidP="008A2C71">
      <w:pPr>
        <w:pStyle w:val="BodyText"/>
        <w:numPr>
          <w:ilvl w:val="0"/>
          <w:numId w:val="24"/>
        </w:numPr>
      </w:pPr>
      <w:r w:rsidRPr="00EA0A41">
        <w:t>Physical layer procedure(s) including [RAN1]</w:t>
      </w:r>
      <w:r w:rsidRPr="00EA0A41">
        <w:rPr>
          <w:rFonts w:hint="eastAsia"/>
        </w:rPr>
        <w:t>:</w:t>
      </w:r>
    </w:p>
    <w:p w14:paraId="6C0C4B81" w14:textId="77777777" w:rsidR="008A2C71" w:rsidRPr="00EA0A41" w:rsidRDefault="008A2C71" w:rsidP="008A2C71">
      <w:pPr>
        <w:pStyle w:val="BodyText"/>
        <w:numPr>
          <w:ilvl w:val="1"/>
          <w:numId w:val="24"/>
        </w:numPr>
      </w:pPr>
      <w:r w:rsidRPr="00EA0A41">
        <w:lastRenderedPageBreak/>
        <w:t xml:space="preserve">Channel access mechanism assuming beam based operation in order to comply with the regulatory requirements applicable to unlicensed spectrum for frequencies between 52.6GHz and 71GHz. </w:t>
      </w:r>
    </w:p>
    <w:p w14:paraId="2EB989F4" w14:textId="77777777" w:rsidR="008A2C71" w:rsidRPr="00EA0A41" w:rsidRDefault="008A2C71" w:rsidP="008A2C71">
      <w:pPr>
        <w:pStyle w:val="BodyText"/>
      </w:pPr>
    </w:p>
    <w:p w14:paraId="1EEE134F" w14:textId="77777777" w:rsidR="008A2C71" w:rsidRPr="00CE0424" w:rsidRDefault="008A2C71" w:rsidP="008A2C71">
      <w:pPr>
        <w:pStyle w:val="Heading1"/>
      </w:pPr>
      <w:r>
        <w:t>2</w:t>
      </w:r>
      <w:r>
        <w:tab/>
        <w:t>Summary updates of global spectrum regulations</w:t>
      </w:r>
    </w:p>
    <w:p w14:paraId="39E5E7D9" w14:textId="0EC2BC60" w:rsidR="002E63AF" w:rsidRDefault="00566A50" w:rsidP="008A2C71">
      <w:pPr>
        <w:pStyle w:val="BodyText"/>
      </w:pPr>
      <w:bookmarkStart w:id="1" w:name="_Hlk39696936"/>
      <w:r>
        <w:t xml:space="preserve">An overview of the </w:t>
      </w:r>
      <w:r w:rsidR="007B2907">
        <w:t xml:space="preserve">licensing situation </w:t>
      </w:r>
      <w:r w:rsidR="00826950">
        <w:t xml:space="preserve">for various countries in the 52.6 – 71 GHz frequency range was provided in </w:t>
      </w:r>
      <w:r w:rsidR="00C846E3">
        <w:fldChar w:fldCharType="begin"/>
      </w:r>
      <w:r w:rsidR="00C846E3">
        <w:instrText xml:space="preserve"> REF _Ref37858330 \r \h </w:instrText>
      </w:r>
      <w:r w:rsidR="00C846E3">
        <w:fldChar w:fldCharType="separate"/>
      </w:r>
      <w:r w:rsidR="005A26D8">
        <w:t>[1]</w:t>
      </w:r>
      <w:r w:rsidR="00C846E3">
        <w:fldChar w:fldCharType="end"/>
      </w:r>
      <w:r w:rsidR="00C846E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1367"/>
        <w:gridCol w:w="684"/>
        <w:gridCol w:w="727"/>
        <w:gridCol w:w="727"/>
        <w:gridCol w:w="675"/>
        <w:gridCol w:w="661"/>
        <w:gridCol w:w="675"/>
        <w:gridCol w:w="661"/>
        <w:gridCol w:w="678"/>
        <w:gridCol w:w="639"/>
        <w:gridCol w:w="644"/>
        <w:gridCol w:w="664"/>
      </w:tblGrid>
      <w:tr w:rsidR="002E63AF" w14:paraId="6FD6B522" w14:textId="77777777" w:rsidTr="00700019">
        <w:trPr>
          <w:trHeight w:val="262"/>
        </w:trPr>
        <w:tc>
          <w:tcPr>
            <w:tcW w:w="826"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14:paraId="77174B22" w14:textId="77777777" w:rsidR="002E63AF" w:rsidRPr="00432BFF" w:rsidRDefault="002E63AF" w:rsidP="00700019">
            <w:pPr>
              <w:pStyle w:val="TAH"/>
            </w:pPr>
            <w:r w:rsidRPr="00432BFF">
              <w:t>Region</w:t>
            </w:r>
          </w:p>
        </w:tc>
        <w:tc>
          <w:tcPr>
            <w:tcW w:w="1367"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14:paraId="53AA5BD3" w14:textId="77777777" w:rsidR="002E63AF" w:rsidRPr="00D8580D" w:rsidRDefault="002E63AF" w:rsidP="00700019">
            <w:pPr>
              <w:pStyle w:val="TAH"/>
            </w:pPr>
            <w:r w:rsidRPr="00D8580D">
              <w:t>Country</w:t>
            </w:r>
          </w:p>
        </w:tc>
        <w:tc>
          <w:tcPr>
            <w:tcW w:w="7438"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9918CE3" w14:textId="77777777" w:rsidR="002E63AF" w:rsidRPr="006B7F83" w:rsidRDefault="002E63AF" w:rsidP="00700019">
            <w:pPr>
              <w:pStyle w:val="TAH"/>
            </w:pPr>
            <w:r w:rsidRPr="006B7F83">
              <w:t>Frequency (GHz)</w:t>
            </w:r>
          </w:p>
        </w:tc>
      </w:tr>
      <w:tr w:rsidR="002E63AF" w14:paraId="13C86811" w14:textId="77777777" w:rsidTr="00700019">
        <w:trPr>
          <w:trHeight w:val="262"/>
        </w:trPr>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14:paraId="1AEFBCEF" w14:textId="77777777" w:rsidR="002E63AF" w:rsidRPr="00A3436C" w:rsidRDefault="002E63AF" w:rsidP="00700019">
            <w:pPr>
              <w:pStyle w:val="TAH"/>
            </w:pPr>
          </w:p>
        </w:tc>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14:paraId="7A2FDFBB" w14:textId="77777777" w:rsidR="002E63AF" w:rsidRPr="00A3436C" w:rsidRDefault="002E63AF" w:rsidP="00700019">
            <w:pPr>
              <w:pStyle w:val="TAH"/>
            </w:pPr>
          </w:p>
        </w:tc>
        <w:tc>
          <w:tcPr>
            <w:tcW w:w="690"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19A71102" w14:textId="77777777" w:rsidR="002E63AF" w:rsidRPr="00A3436C" w:rsidRDefault="002E63AF" w:rsidP="00700019">
            <w:pPr>
              <w:pStyle w:val="TAH"/>
            </w:pPr>
            <w:r w:rsidRPr="00A3436C">
              <w:t>52.6-54.25</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394427CF" w14:textId="77777777" w:rsidR="002E63AF" w:rsidRPr="00A3436C" w:rsidRDefault="002E63AF" w:rsidP="00700019">
            <w:pPr>
              <w:pStyle w:val="TAH"/>
            </w:pPr>
            <w:r w:rsidRPr="00A3436C">
              <w:t>54.25-55.78</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06B7FEE1" w14:textId="77777777" w:rsidR="002E63AF" w:rsidRPr="00A3436C" w:rsidRDefault="002E63AF" w:rsidP="00700019">
            <w:pPr>
              <w:pStyle w:val="TAH"/>
            </w:pPr>
            <w:r w:rsidRPr="00A3436C">
              <w:t>55.78-56.9</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5BB9A693" w14:textId="77777777" w:rsidR="002E63AF" w:rsidRPr="00A3436C" w:rsidRDefault="002E63AF" w:rsidP="00700019">
            <w:pPr>
              <w:pStyle w:val="TAH"/>
            </w:pPr>
            <w:r w:rsidRPr="00A3436C">
              <w:t>56.9-57</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7C382F03" w14:textId="77777777" w:rsidR="002E63AF" w:rsidRPr="00A3436C" w:rsidRDefault="002E63AF" w:rsidP="00700019">
            <w:pPr>
              <w:pStyle w:val="TAH"/>
            </w:pPr>
            <w:r w:rsidRPr="00A3436C">
              <w:t>57-58.2</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12708F96" w14:textId="77777777" w:rsidR="002E63AF" w:rsidRPr="00A3436C" w:rsidRDefault="002E63AF" w:rsidP="00700019">
            <w:pPr>
              <w:pStyle w:val="TAH"/>
            </w:pPr>
            <w:r w:rsidRPr="00A3436C">
              <w:t>58.2-59</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03412CF6" w14:textId="77777777" w:rsidR="002E63AF" w:rsidRPr="00A3436C" w:rsidRDefault="002E63AF" w:rsidP="00700019">
            <w:pPr>
              <w:pStyle w:val="TAH"/>
            </w:pPr>
            <w:r w:rsidRPr="00A3436C">
              <w:t>59-59.3</w:t>
            </w:r>
          </w:p>
        </w:tc>
        <w:tc>
          <w:tcPr>
            <w:tcW w:w="694"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76668712" w14:textId="77777777" w:rsidR="002E63AF" w:rsidRPr="00A3436C" w:rsidRDefault="002E63AF" w:rsidP="00700019">
            <w:pPr>
              <w:pStyle w:val="TAH"/>
            </w:pPr>
            <w:r w:rsidRPr="00A3436C">
              <w:t>59.3-64</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5658B61A" w14:textId="77777777" w:rsidR="002E63AF" w:rsidRPr="00A3436C" w:rsidRDefault="002E63AF" w:rsidP="00700019">
            <w:pPr>
              <w:pStyle w:val="TAH"/>
            </w:pPr>
            <w:r w:rsidRPr="00A3436C">
              <w:t>64-65</w:t>
            </w:r>
          </w:p>
        </w:tc>
        <w:tc>
          <w:tcPr>
            <w:tcW w:w="698"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244ED7E4" w14:textId="77777777" w:rsidR="002E63AF" w:rsidRPr="00A3436C" w:rsidRDefault="002E63AF" w:rsidP="00700019">
            <w:pPr>
              <w:pStyle w:val="TAH"/>
            </w:pPr>
            <w:r w:rsidRPr="00A3436C">
              <w:t>65-66</w:t>
            </w:r>
          </w:p>
        </w:tc>
        <w:tc>
          <w:tcPr>
            <w:tcW w:w="710"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7FBD1480" w14:textId="77777777" w:rsidR="002E63AF" w:rsidRPr="00135CB4" w:rsidRDefault="002E63AF" w:rsidP="00700019">
            <w:pPr>
              <w:pStyle w:val="TAH"/>
            </w:pPr>
            <w:r w:rsidRPr="00A3436C">
              <w:t>66-71</w:t>
            </w:r>
            <w:r w:rsidRPr="00A3436C">
              <w:rPr>
                <w:vertAlign w:val="superscript"/>
              </w:rPr>
              <w:t>1)</w:t>
            </w:r>
          </w:p>
        </w:tc>
      </w:tr>
      <w:tr w:rsidR="002E63AF" w14:paraId="1846C7DD" w14:textId="77777777" w:rsidTr="00700019">
        <w:trPr>
          <w:trHeight w:val="262"/>
        </w:trPr>
        <w:tc>
          <w:tcPr>
            <w:tcW w:w="779" w:type="dxa"/>
            <w:vMerge w:val="restart"/>
            <w:tcBorders>
              <w:top w:val="double" w:sz="4" w:space="0" w:color="auto"/>
              <w:left w:val="single" w:sz="4" w:space="0" w:color="auto"/>
              <w:bottom w:val="double" w:sz="4" w:space="0" w:color="auto"/>
              <w:right w:val="single" w:sz="4" w:space="0" w:color="auto"/>
            </w:tcBorders>
            <w:textDirection w:val="btLr"/>
            <w:vAlign w:val="center"/>
            <w:hideMark/>
          </w:tcPr>
          <w:p w14:paraId="0A4D0781" w14:textId="77777777" w:rsidR="002E63AF" w:rsidRPr="00A3436C" w:rsidRDefault="002E63AF" w:rsidP="00700019">
            <w:pPr>
              <w:spacing w:after="0"/>
              <w:ind w:left="113" w:right="113"/>
              <w:jc w:val="center"/>
              <w:rPr>
                <w:rFonts w:ascii="Arial" w:hAnsi="Arial" w:cs="Arial"/>
                <w:b/>
                <w:sz w:val="18"/>
                <w:szCs w:val="18"/>
              </w:rPr>
            </w:pPr>
            <w:r w:rsidRPr="00A3436C">
              <w:rPr>
                <w:rFonts w:ascii="Arial" w:hAnsi="Arial" w:cs="Arial"/>
                <w:b/>
                <w:sz w:val="18"/>
                <w:szCs w:val="18"/>
              </w:rPr>
              <w:t>ITU Region 1</w:t>
            </w:r>
          </w:p>
        </w:tc>
        <w:tc>
          <w:tcPr>
            <w:tcW w:w="1325" w:type="dxa"/>
            <w:tcBorders>
              <w:top w:val="double" w:sz="4" w:space="0" w:color="auto"/>
              <w:left w:val="single" w:sz="4" w:space="0" w:color="auto"/>
              <w:bottom w:val="single" w:sz="4" w:space="0" w:color="auto"/>
              <w:right w:val="single" w:sz="4" w:space="0" w:color="auto"/>
            </w:tcBorders>
            <w:vAlign w:val="center"/>
            <w:hideMark/>
          </w:tcPr>
          <w:p w14:paraId="4825A399"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Europe/CEPT</w:t>
            </w:r>
          </w:p>
        </w:tc>
        <w:tc>
          <w:tcPr>
            <w:tcW w:w="690" w:type="dxa"/>
            <w:tcBorders>
              <w:top w:val="double" w:sz="4" w:space="0" w:color="auto"/>
              <w:left w:val="single" w:sz="4" w:space="0" w:color="auto"/>
              <w:bottom w:val="single" w:sz="4" w:space="0" w:color="auto"/>
              <w:right w:val="single" w:sz="4" w:space="0" w:color="auto"/>
            </w:tcBorders>
            <w:vAlign w:val="center"/>
          </w:tcPr>
          <w:p w14:paraId="67020636" w14:textId="77777777" w:rsidR="002E63AF" w:rsidRPr="00A3436C" w:rsidRDefault="002E63AF" w:rsidP="00700019">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14:paraId="53B53975" w14:textId="77777777" w:rsidR="002E63AF" w:rsidRPr="00A3436C" w:rsidRDefault="002E63AF" w:rsidP="00700019">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14:paraId="6A6A104C" w14:textId="77777777" w:rsidR="002E63AF" w:rsidRPr="00A3436C" w:rsidRDefault="002E63AF" w:rsidP="00700019">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14:paraId="020028CD" w14:textId="77777777" w:rsidR="002E63AF" w:rsidRPr="00A3436C" w:rsidRDefault="002E63AF" w:rsidP="00700019">
            <w:pPr>
              <w:spacing w:after="0"/>
              <w:jc w:val="center"/>
              <w:rPr>
                <w:rFonts w:ascii="Arial" w:hAnsi="Arial" w:cs="Arial"/>
                <w:sz w:val="18"/>
                <w:szCs w:val="18"/>
              </w:rPr>
            </w:pPr>
          </w:p>
        </w:tc>
        <w:tc>
          <w:tcPr>
            <w:tcW w:w="4156" w:type="dxa"/>
            <w:gridSpan w:val="6"/>
            <w:tcBorders>
              <w:top w:val="double" w:sz="4" w:space="0" w:color="auto"/>
              <w:left w:val="single" w:sz="4" w:space="0" w:color="auto"/>
              <w:bottom w:val="single" w:sz="4" w:space="0" w:color="auto"/>
              <w:right w:val="single" w:sz="4" w:space="0" w:color="auto"/>
            </w:tcBorders>
            <w:shd w:val="clear" w:color="auto" w:fill="F2F2F2"/>
            <w:vAlign w:val="center"/>
            <w:hideMark/>
          </w:tcPr>
          <w:p w14:paraId="5B29F73E" w14:textId="77777777" w:rsidR="002E63AF" w:rsidRPr="00A3436C" w:rsidRDefault="002E63AF" w:rsidP="00700019">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double" w:sz="4" w:space="0" w:color="auto"/>
              <w:left w:val="single" w:sz="4" w:space="0" w:color="auto"/>
              <w:bottom w:val="single" w:sz="4" w:space="0" w:color="auto"/>
              <w:right w:val="single" w:sz="4" w:space="0" w:color="auto"/>
            </w:tcBorders>
            <w:vAlign w:val="center"/>
          </w:tcPr>
          <w:p w14:paraId="73FEFD42" w14:textId="77777777" w:rsidR="002E63AF" w:rsidRPr="00A3436C" w:rsidRDefault="002E63AF" w:rsidP="00700019">
            <w:pPr>
              <w:spacing w:after="0"/>
              <w:jc w:val="center"/>
              <w:rPr>
                <w:rFonts w:ascii="Arial" w:hAnsi="Arial" w:cs="Arial"/>
                <w:sz w:val="18"/>
                <w:szCs w:val="18"/>
              </w:rPr>
            </w:pPr>
          </w:p>
        </w:tc>
      </w:tr>
      <w:tr w:rsidR="002E63AF" w14:paraId="218216EA" w14:textId="77777777" w:rsidTr="00700019">
        <w:trPr>
          <w:trHeight w:val="262"/>
        </w:trPr>
        <w:tc>
          <w:tcPr>
            <w:tcW w:w="0" w:type="auto"/>
            <w:vMerge/>
            <w:tcBorders>
              <w:top w:val="double" w:sz="4" w:space="0" w:color="auto"/>
              <w:left w:val="single" w:sz="4" w:space="0" w:color="auto"/>
              <w:bottom w:val="double" w:sz="4" w:space="0" w:color="auto"/>
              <w:right w:val="single" w:sz="4" w:space="0" w:color="auto"/>
            </w:tcBorders>
            <w:vAlign w:val="center"/>
            <w:hideMark/>
          </w:tcPr>
          <w:p w14:paraId="6E6E1890" w14:textId="77777777" w:rsidR="002E63AF" w:rsidRPr="00A3436C" w:rsidRDefault="002E63AF" w:rsidP="00700019">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10B13DC2"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Israel</w:t>
            </w:r>
          </w:p>
        </w:tc>
        <w:tc>
          <w:tcPr>
            <w:tcW w:w="690" w:type="dxa"/>
            <w:tcBorders>
              <w:top w:val="single" w:sz="4" w:space="0" w:color="auto"/>
              <w:left w:val="single" w:sz="4" w:space="0" w:color="auto"/>
              <w:bottom w:val="single" w:sz="4" w:space="0" w:color="auto"/>
              <w:right w:val="single" w:sz="4" w:space="0" w:color="auto"/>
            </w:tcBorders>
            <w:vAlign w:val="center"/>
          </w:tcPr>
          <w:p w14:paraId="7A9AEF40"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24D957CC"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4109F62A"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363586EB"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3E85C129"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2C5008EE"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15734D6F" w14:textId="77777777" w:rsidR="002E63AF" w:rsidRPr="00A3436C" w:rsidRDefault="002E63AF" w:rsidP="00700019">
            <w:pPr>
              <w:spacing w:after="0"/>
              <w:jc w:val="center"/>
              <w:rPr>
                <w:rFonts w:ascii="Arial" w:hAnsi="Arial" w:cs="Arial"/>
                <w:sz w:val="18"/>
                <w:szCs w:val="18"/>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36E4CEE"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398A0361" w14:textId="77777777" w:rsidR="002E63AF" w:rsidRPr="00A3436C" w:rsidRDefault="002E63AF" w:rsidP="00700019">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14:paraId="7EB06D90" w14:textId="77777777" w:rsidR="002E63AF" w:rsidRPr="00A3436C" w:rsidRDefault="002E63AF" w:rsidP="00700019">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14:paraId="51681889" w14:textId="77777777" w:rsidR="002E63AF" w:rsidRPr="00A3436C" w:rsidRDefault="002E63AF" w:rsidP="00700019">
            <w:pPr>
              <w:spacing w:after="0"/>
              <w:jc w:val="center"/>
              <w:rPr>
                <w:rFonts w:ascii="Arial" w:hAnsi="Arial" w:cs="Arial"/>
                <w:sz w:val="18"/>
                <w:szCs w:val="18"/>
              </w:rPr>
            </w:pPr>
          </w:p>
        </w:tc>
      </w:tr>
      <w:tr w:rsidR="002E63AF" w14:paraId="4EB93B78" w14:textId="77777777" w:rsidTr="00700019">
        <w:trPr>
          <w:trHeight w:val="262"/>
        </w:trPr>
        <w:tc>
          <w:tcPr>
            <w:tcW w:w="0" w:type="auto"/>
            <w:vMerge/>
            <w:tcBorders>
              <w:top w:val="double" w:sz="4" w:space="0" w:color="auto"/>
              <w:left w:val="single" w:sz="4" w:space="0" w:color="auto"/>
              <w:bottom w:val="double" w:sz="4" w:space="0" w:color="auto"/>
              <w:right w:val="single" w:sz="4" w:space="0" w:color="auto"/>
            </w:tcBorders>
            <w:vAlign w:val="center"/>
            <w:hideMark/>
          </w:tcPr>
          <w:p w14:paraId="16B5CC01" w14:textId="77777777" w:rsidR="002E63AF" w:rsidRPr="00A3436C" w:rsidRDefault="002E63AF" w:rsidP="00700019">
            <w:pPr>
              <w:spacing w:after="0"/>
              <w:rPr>
                <w:rFonts w:ascii="Arial" w:hAnsi="Arial" w:cs="Arial"/>
                <w:b/>
                <w:sz w:val="18"/>
                <w:szCs w:val="18"/>
              </w:rPr>
            </w:pPr>
          </w:p>
        </w:tc>
        <w:tc>
          <w:tcPr>
            <w:tcW w:w="1325" w:type="dxa"/>
            <w:tcBorders>
              <w:top w:val="single" w:sz="4" w:space="0" w:color="auto"/>
              <w:left w:val="single" w:sz="4" w:space="0" w:color="auto"/>
              <w:bottom w:val="double" w:sz="4" w:space="0" w:color="auto"/>
              <w:right w:val="single" w:sz="4" w:space="0" w:color="auto"/>
            </w:tcBorders>
            <w:vAlign w:val="center"/>
            <w:hideMark/>
          </w:tcPr>
          <w:p w14:paraId="575FF04B"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South Africa</w:t>
            </w:r>
          </w:p>
        </w:tc>
        <w:tc>
          <w:tcPr>
            <w:tcW w:w="690" w:type="dxa"/>
            <w:tcBorders>
              <w:top w:val="single" w:sz="4" w:space="0" w:color="auto"/>
              <w:left w:val="single" w:sz="4" w:space="0" w:color="auto"/>
              <w:bottom w:val="double" w:sz="4" w:space="0" w:color="auto"/>
              <w:right w:val="single" w:sz="4" w:space="0" w:color="auto"/>
            </w:tcBorders>
            <w:vAlign w:val="center"/>
          </w:tcPr>
          <w:p w14:paraId="1692545A"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14:paraId="06BAB1C7"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14:paraId="4342D1CB"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14:paraId="757742EB" w14:textId="77777777" w:rsidR="002E63AF" w:rsidRPr="00A3436C" w:rsidRDefault="002E63AF" w:rsidP="00700019">
            <w:pPr>
              <w:spacing w:after="0"/>
              <w:jc w:val="center"/>
              <w:rPr>
                <w:rFonts w:ascii="Arial" w:hAnsi="Arial" w:cs="Arial"/>
                <w:sz w:val="18"/>
                <w:szCs w:val="18"/>
              </w:rPr>
            </w:pPr>
          </w:p>
        </w:tc>
        <w:tc>
          <w:tcPr>
            <w:tcW w:w="2767" w:type="dxa"/>
            <w:gridSpan w:val="4"/>
            <w:tcBorders>
              <w:top w:val="single" w:sz="4" w:space="0" w:color="auto"/>
              <w:left w:val="single" w:sz="4" w:space="0" w:color="auto"/>
              <w:bottom w:val="double" w:sz="4" w:space="0" w:color="auto"/>
              <w:right w:val="single" w:sz="4" w:space="0" w:color="auto"/>
            </w:tcBorders>
            <w:shd w:val="clear" w:color="auto" w:fill="F2F2F2"/>
            <w:vAlign w:val="center"/>
            <w:hideMark/>
          </w:tcPr>
          <w:p w14:paraId="7B4F19F8" w14:textId="77777777" w:rsidR="002E63AF" w:rsidRPr="00A3436C" w:rsidRDefault="002E63AF" w:rsidP="00700019">
            <w:pPr>
              <w:spacing w:after="0"/>
              <w:jc w:val="center"/>
              <w:rPr>
                <w:rFonts w:ascii="Arial" w:hAnsi="Arial" w:cs="Arial"/>
                <w:sz w:val="18"/>
                <w:szCs w:val="18"/>
              </w:rPr>
            </w:pPr>
            <w:r w:rsidRPr="00A3436C">
              <w:rPr>
                <w:rFonts w:ascii="Arial" w:hAnsi="Arial" w:cs="Arial"/>
                <w:sz w:val="18"/>
                <w:szCs w:val="18"/>
              </w:rPr>
              <w:t>U (Mobile)</w:t>
            </w:r>
          </w:p>
        </w:tc>
        <w:tc>
          <w:tcPr>
            <w:tcW w:w="1389"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14:paraId="24A42ED0" w14:textId="77777777" w:rsidR="002E63AF" w:rsidRPr="00A3436C" w:rsidRDefault="002E63AF" w:rsidP="00700019">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double" w:sz="4" w:space="0" w:color="auto"/>
              <w:right w:val="single" w:sz="4" w:space="0" w:color="auto"/>
            </w:tcBorders>
            <w:vAlign w:val="center"/>
          </w:tcPr>
          <w:p w14:paraId="49A4B4CF" w14:textId="77777777" w:rsidR="002E63AF" w:rsidRPr="00A3436C" w:rsidRDefault="002E63AF" w:rsidP="00700019">
            <w:pPr>
              <w:spacing w:after="0"/>
              <w:jc w:val="center"/>
              <w:rPr>
                <w:rFonts w:ascii="Arial" w:hAnsi="Arial" w:cs="Arial"/>
                <w:sz w:val="18"/>
                <w:szCs w:val="18"/>
              </w:rPr>
            </w:pPr>
          </w:p>
        </w:tc>
      </w:tr>
      <w:tr w:rsidR="002E63AF" w14:paraId="28F1B422" w14:textId="77777777" w:rsidTr="00700019">
        <w:trPr>
          <w:trHeight w:val="269"/>
        </w:trPr>
        <w:tc>
          <w:tcPr>
            <w:tcW w:w="779"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332B555E" w14:textId="77777777" w:rsidR="002E63AF" w:rsidRPr="00A3436C" w:rsidRDefault="002E63AF" w:rsidP="00700019">
            <w:pPr>
              <w:spacing w:after="0"/>
              <w:ind w:left="113" w:right="113"/>
              <w:jc w:val="center"/>
              <w:rPr>
                <w:rFonts w:ascii="Arial" w:hAnsi="Arial" w:cs="Arial"/>
                <w:b/>
                <w:sz w:val="18"/>
                <w:szCs w:val="18"/>
              </w:rPr>
            </w:pPr>
            <w:r w:rsidRPr="00A3436C">
              <w:rPr>
                <w:rFonts w:ascii="Arial" w:hAnsi="Arial" w:cs="Arial"/>
                <w:b/>
                <w:sz w:val="18"/>
                <w:szCs w:val="18"/>
              </w:rPr>
              <w:t>ITU Region 2</w:t>
            </w:r>
          </w:p>
        </w:tc>
        <w:tc>
          <w:tcPr>
            <w:tcW w:w="1325" w:type="dxa"/>
            <w:tcBorders>
              <w:top w:val="double" w:sz="4" w:space="0" w:color="auto"/>
              <w:left w:val="single" w:sz="4" w:space="0" w:color="auto"/>
              <w:bottom w:val="single" w:sz="4" w:space="0" w:color="auto"/>
              <w:right w:val="single" w:sz="4" w:space="0" w:color="auto"/>
            </w:tcBorders>
            <w:vAlign w:val="center"/>
            <w:hideMark/>
          </w:tcPr>
          <w:p w14:paraId="2076CAC5"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USA</w:t>
            </w:r>
          </w:p>
        </w:tc>
        <w:tc>
          <w:tcPr>
            <w:tcW w:w="690" w:type="dxa"/>
            <w:tcBorders>
              <w:top w:val="double" w:sz="4" w:space="0" w:color="auto"/>
              <w:left w:val="single" w:sz="4" w:space="0" w:color="auto"/>
              <w:bottom w:val="single" w:sz="4" w:space="0" w:color="auto"/>
              <w:right w:val="single" w:sz="4" w:space="0" w:color="auto"/>
            </w:tcBorders>
            <w:vAlign w:val="center"/>
          </w:tcPr>
          <w:p w14:paraId="084DB652" w14:textId="77777777" w:rsidR="002E63AF" w:rsidRPr="00A3436C" w:rsidRDefault="002E63AF" w:rsidP="00700019">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14:paraId="28581798" w14:textId="77777777" w:rsidR="002E63AF" w:rsidRPr="00A3436C" w:rsidRDefault="002E63AF" w:rsidP="00700019">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14:paraId="568DF7B6" w14:textId="77777777" w:rsidR="002E63AF" w:rsidRPr="00A3436C" w:rsidRDefault="002E63AF" w:rsidP="00700019">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14:paraId="1F64E4A0" w14:textId="77777777" w:rsidR="002E63AF" w:rsidRPr="00A3436C" w:rsidRDefault="002E63AF" w:rsidP="00700019">
            <w:pPr>
              <w:spacing w:after="0"/>
              <w:jc w:val="center"/>
              <w:rPr>
                <w:rFonts w:ascii="Arial" w:hAnsi="Arial" w:cs="Arial"/>
                <w:sz w:val="18"/>
                <w:szCs w:val="18"/>
              </w:rPr>
            </w:pPr>
          </w:p>
        </w:tc>
        <w:tc>
          <w:tcPr>
            <w:tcW w:w="4866" w:type="dxa"/>
            <w:gridSpan w:val="7"/>
            <w:tcBorders>
              <w:top w:val="double" w:sz="4" w:space="0" w:color="auto"/>
              <w:left w:val="single" w:sz="4" w:space="0" w:color="auto"/>
              <w:bottom w:val="single" w:sz="4" w:space="0" w:color="auto"/>
              <w:right w:val="single" w:sz="4" w:space="0" w:color="auto"/>
            </w:tcBorders>
            <w:shd w:val="clear" w:color="auto" w:fill="F2F2F2"/>
            <w:vAlign w:val="center"/>
            <w:hideMark/>
          </w:tcPr>
          <w:p w14:paraId="7CA389FD" w14:textId="77777777" w:rsidR="002E63AF" w:rsidRPr="00A3436C" w:rsidRDefault="002E63AF" w:rsidP="00700019">
            <w:pPr>
              <w:spacing w:after="0"/>
              <w:jc w:val="center"/>
              <w:rPr>
                <w:rFonts w:ascii="Arial" w:hAnsi="Arial" w:cs="Arial"/>
                <w:sz w:val="18"/>
                <w:szCs w:val="18"/>
              </w:rPr>
            </w:pPr>
            <w:r w:rsidRPr="00A3436C">
              <w:rPr>
                <w:rFonts w:ascii="Arial" w:hAnsi="Arial" w:cs="Arial"/>
                <w:sz w:val="18"/>
                <w:szCs w:val="18"/>
              </w:rPr>
              <w:t>U (Mobile)</w:t>
            </w:r>
          </w:p>
        </w:tc>
      </w:tr>
      <w:tr w:rsidR="002E63AF" w14:paraId="7713E0BB" w14:textId="77777777" w:rsidTr="00700019">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14:paraId="5B9854B1" w14:textId="77777777" w:rsidR="002E63AF" w:rsidRPr="00A3436C" w:rsidRDefault="002E63AF" w:rsidP="00700019">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7DF5EA0E"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Canada</w:t>
            </w:r>
          </w:p>
        </w:tc>
        <w:tc>
          <w:tcPr>
            <w:tcW w:w="690" w:type="dxa"/>
            <w:tcBorders>
              <w:top w:val="single" w:sz="4" w:space="0" w:color="auto"/>
              <w:left w:val="single" w:sz="4" w:space="0" w:color="auto"/>
              <w:bottom w:val="single" w:sz="4" w:space="0" w:color="auto"/>
              <w:right w:val="single" w:sz="4" w:space="0" w:color="auto"/>
            </w:tcBorders>
            <w:vAlign w:val="center"/>
          </w:tcPr>
          <w:p w14:paraId="5E212088"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37E9EE94"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24727032"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5546EC21" w14:textId="77777777" w:rsidR="002E63AF" w:rsidRPr="00A3436C" w:rsidRDefault="002E63AF" w:rsidP="00700019">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14:paraId="1CDD9026" w14:textId="77777777" w:rsidR="002E63AF" w:rsidRPr="00A3436C" w:rsidRDefault="002E63AF" w:rsidP="00700019">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7AEFB354" w14:textId="77777777" w:rsidR="002E63AF" w:rsidRPr="00A3436C" w:rsidRDefault="002E63AF" w:rsidP="00700019">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14:paraId="58BFA030" w14:textId="77777777" w:rsidR="002E63AF" w:rsidRPr="00A3436C" w:rsidRDefault="002E63AF" w:rsidP="00700019">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14:paraId="4A71493F" w14:textId="77777777" w:rsidR="002E63AF" w:rsidRPr="00A3436C" w:rsidRDefault="002E63AF" w:rsidP="00700019">
            <w:pPr>
              <w:spacing w:after="0"/>
              <w:jc w:val="center"/>
              <w:rPr>
                <w:rFonts w:ascii="Arial" w:hAnsi="Arial" w:cs="Arial"/>
                <w:sz w:val="18"/>
                <w:szCs w:val="18"/>
              </w:rPr>
            </w:pPr>
          </w:p>
        </w:tc>
      </w:tr>
      <w:tr w:rsidR="002E63AF" w14:paraId="73836EE1" w14:textId="77777777" w:rsidTr="00700019">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14:paraId="50A166E2" w14:textId="77777777" w:rsidR="002E63AF" w:rsidRPr="00A3436C" w:rsidRDefault="002E63AF" w:rsidP="00700019">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5AF4DD2B"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Brazil</w:t>
            </w:r>
          </w:p>
        </w:tc>
        <w:tc>
          <w:tcPr>
            <w:tcW w:w="690" w:type="dxa"/>
            <w:tcBorders>
              <w:top w:val="single" w:sz="4" w:space="0" w:color="auto"/>
              <w:left w:val="single" w:sz="4" w:space="0" w:color="auto"/>
              <w:bottom w:val="single" w:sz="4" w:space="0" w:color="auto"/>
              <w:right w:val="single" w:sz="4" w:space="0" w:color="auto"/>
            </w:tcBorders>
            <w:vAlign w:val="center"/>
          </w:tcPr>
          <w:p w14:paraId="7ED59821"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633A1E33"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47A5803D"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33358BB6" w14:textId="77777777" w:rsidR="002E63AF" w:rsidRPr="00A3436C" w:rsidRDefault="002E63AF" w:rsidP="00700019">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14:paraId="283DA002" w14:textId="77777777" w:rsidR="002E63AF" w:rsidRPr="00A3436C" w:rsidRDefault="002E63AF" w:rsidP="00700019">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5F302CDD" w14:textId="77777777" w:rsidR="002E63AF" w:rsidRPr="00A3436C" w:rsidRDefault="002E63AF" w:rsidP="00700019">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14:paraId="563606B5" w14:textId="77777777" w:rsidR="002E63AF" w:rsidRPr="00A3436C" w:rsidRDefault="002E63AF" w:rsidP="00700019">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14:paraId="71AC2139" w14:textId="77777777" w:rsidR="002E63AF" w:rsidRPr="00A3436C" w:rsidRDefault="002E63AF" w:rsidP="00700019">
            <w:pPr>
              <w:spacing w:after="0"/>
              <w:jc w:val="center"/>
              <w:rPr>
                <w:rFonts w:ascii="Arial" w:hAnsi="Arial" w:cs="Arial"/>
                <w:sz w:val="18"/>
                <w:szCs w:val="18"/>
              </w:rPr>
            </w:pPr>
          </w:p>
        </w:tc>
      </w:tr>
      <w:tr w:rsidR="002E63AF" w14:paraId="65D70D70" w14:textId="77777777" w:rsidTr="00700019">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14:paraId="1441B297" w14:textId="77777777" w:rsidR="002E63AF" w:rsidRPr="00A3436C" w:rsidRDefault="002E63AF" w:rsidP="00700019">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376D0048"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Mexico</w:t>
            </w:r>
          </w:p>
        </w:tc>
        <w:tc>
          <w:tcPr>
            <w:tcW w:w="690" w:type="dxa"/>
            <w:tcBorders>
              <w:top w:val="single" w:sz="4" w:space="0" w:color="auto"/>
              <w:left w:val="single" w:sz="4" w:space="0" w:color="auto"/>
              <w:bottom w:val="single" w:sz="4" w:space="0" w:color="auto"/>
              <w:right w:val="single" w:sz="4" w:space="0" w:color="auto"/>
            </w:tcBorders>
            <w:vAlign w:val="center"/>
          </w:tcPr>
          <w:p w14:paraId="6BB09130"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6FBEBFC4"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03CFC09C"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541CE4A2" w14:textId="77777777" w:rsidR="002E63AF" w:rsidRPr="00A3436C" w:rsidRDefault="002E63AF" w:rsidP="00700019">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14:paraId="737BEB06" w14:textId="77777777" w:rsidR="002E63AF" w:rsidRPr="00A3436C" w:rsidRDefault="002E63AF" w:rsidP="00700019">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73F42CA7" w14:textId="77777777" w:rsidR="002E63AF" w:rsidRPr="00A3436C" w:rsidRDefault="002E63AF" w:rsidP="00700019">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14:paraId="7961FD06" w14:textId="77777777" w:rsidR="002E63AF" w:rsidRPr="00A3436C" w:rsidRDefault="002E63AF" w:rsidP="00700019">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14:paraId="3F34C0D9" w14:textId="77777777" w:rsidR="002E63AF" w:rsidRPr="00A3436C" w:rsidRDefault="002E63AF" w:rsidP="00700019">
            <w:pPr>
              <w:spacing w:after="0"/>
              <w:jc w:val="center"/>
              <w:rPr>
                <w:rFonts w:ascii="Arial" w:hAnsi="Arial" w:cs="Arial"/>
                <w:sz w:val="18"/>
                <w:szCs w:val="18"/>
              </w:rPr>
            </w:pPr>
          </w:p>
        </w:tc>
      </w:tr>
      <w:tr w:rsidR="002E63AF" w14:paraId="345705E6" w14:textId="77777777" w:rsidTr="00700019">
        <w:trPr>
          <w:trHeight w:val="262"/>
        </w:trPr>
        <w:tc>
          <w:tcPr>
            <w:tcW w:w="77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62B5BE8" w14:textId="77777777" w:rsidR="002E63AF" w:rsidRPr="00A3436C" w:rsidRDefault="002E63AF" w:rsidP="00700019">
            <w:pPr>
              <w:spacing w:after="0"/>
              <w:ind w:left="113" w:right="113"/>
              <w:jc w:val="center"/>
              <w:rPr>
                <w:rFonts w:ascii="Arial" w:hAnsi="Arial" w:cs="Arial"/>
                <w:b/>
                <w:sz w:val="18"/>
                <w:szCs w:val="18"/>
              </w:rPr>
            </w:pPr>
            <w:r w:rsidRPr="00A3436C">
              <w:rPr>
                <w:rFonts w:ascii="Arial" w:hAnsi="Arial" w:cs="Arial"/>
                <w:b/>
                <w:sz w:val="18"/>
                <w:szCs w:val="18"/>
              </w:rPr>
              <w:t>ITU Region 3</w:t>
            </w:r>
          </w:p>
        </w:tc>
        <w:tc>
          <w:tcPr>
            <w:tcW w:w="1325" w:type="dxa"/>
            <w:tcBorders>
              <w:top w:val="single" w:sz="4" w:space="0" w:color="auto"/>
              <w:left w:val="single" w:sz="4" w:space="0" w:color="auto"/>
              <w:bottom w:val="single" w:sz="4" w:space="0" w:color="auto"/>
              <w:right w:val="single" w:sz="4" w:space="0" w:color="auto"/>
            </w:tcBorders>
            <w:vAlign w:val="center"/>
            <w:hideMark/>
          </w:tcPr>
          <w:p w14:paraId="48717B11"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China</w:t>
            </w:r>
          </w:p>
        </w:tc>
        <w:tc>
          <w:tcPr>
            <w:tcW w:w="690" w:type="dxa"/>
            <w:tcBorders>
              <w:top w:val="single" w:sz="4" w:space="0" w:color="auto"/>
              <w:left w:val="single" w:sz="4" w:space="0" w:color="auto"/>
              <w:bottom w:val="single" w:sz="4" w:space="0" w:color="auto"/>
              <w:right w:val="single" w:sz="4" w:space="0" w:color="auto"/>
            </w:tcBorders>
            <w:vAlign w:val="center"/>
          </w:tcPr>
          <w:p w14:paraId="448B2653"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294A0E41"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19118DC3"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51782384"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08F76935"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168BB919" w14:textId="77777777" w:rsidR="002E63AF" w:rsidRPr="00A3436C" w:rsidRDefault="002E63AF" w:rsidP="00700019">
            <w:pPr>
              <w:spacing w:after="0"/>
              <w:jc w:val="center"/>
              <w:rPr>
                <w:rFonts w:ascii="Arial" w:hAnsi="Arial" w:cs="Arial"/>
                <w:sz w:val="18"/>
                <w:szCs w:val="18"/>
              </w:rPr>
            </w:pPr>
          </w:p>
        </w:tc>
        <w:tc>
          <w:tcPr>
            <w:tcW w:w="1385"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0948B952" w14:textId="77777777" w:rsidR="002E63AF" w:rsidRPr="00A3436C" w:rsidRDefault="002E63AF" w:rsidP="00700019">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45FA2BF9" w14:textId="77777777" w:rsidR="002E63AF" w:rsidRPr="00A3436C" w:rsidRDefault="002E63AF" w:rsidP="00700019">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14:paraId="2975B73D" w14:textId="77777777" w:rsidR="002E63AF" w:rsidRPr="00A3436C" w:rsidRDefault="002E63AF" w:rsidP="00700019">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14:paraId="24037973" w14:textId="77777777" w:rsidR="002E63AF" w:rsidRPr="00A3436C" w:rsidRDefault="002E63AF" w:rsidP="00700019">
            <w:pPr>
              <w:spacing w:after="0"/>
              <w:jc w:val="center"/>
              <w:rPr>
                <w:rFonts w:ascii="Arial" w:hAnsi="Arial" w:cs="Arial"/>
                <w:sz w:val="18"/>
                <w:szCs w:val="18"/>
              </w:rPr>
            </w:pPr>
          </w:p>
        </w:tc>
      </w:tr>
      <w:tr w:rsidR="002E63AF" w14:paraId="311F01E0" w14:textId="77777777" w:rsidTr="00700019">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8A0939" w14:textId="77777777" w:rsidR="002E63AF" w:rsidRPr="00A3436C" w:rsidRDefault="002E63AF" w:rsidP="00700019">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0F9079D2"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Japan</w:t>
            </w:r>
          </w:p>
        </w:tc>
        <w:tc>
          <w:tcPr>
            <w:tcW w:w="690" w:type="dxa"/>
            <w:tcBorders>
              <w:top w:val="single" w:sz="4" w:space="0" w:color="auto"/>
              <w:left w:val="single" w:sz="4" w:space="0" w:color="auto"/>
              <w:bottom w:val="single" w:sz="4" w:space="0" w:color="auto"/>
              <w:right w:val="single" w:sz="4" w:space="0" w:color="auto"/>
            </w:tcBorders>
            <w:vAlign w:val="center"/>
          </w:tcPr>
          <w:p w14:paraId="349E23EA"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31D48B72"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41F65A2C"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22EE27F2" w14:textId="77777777" w:rsidR="002E63AF" w:rsidRPr="00A3436C" w:rsidRDefault="002E63AF" w:rsidP="00700019">
            <w:pPr>
              <w:spacing w:after="0"/>
              <w:jc w:val="center"/>
              <w:rPr>
                <w:rFonts w:ascii="Arial" w:hAnsi="Arial" w:cs="Arial"/>
                <w:sz w:val="18"/>
                <w:szCs w:val="18"/>
              </w:rPr>
            </w:pPr>
          </w:p>
        </w:tc>
        <w:tc>
          <w:tcPr>
            <w:tcW w:w="415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14:paraId="257F4037" w14:textId="77777777" w:rsidR="002E63AF" w:rsidRPr="00A3436C" w:rsidRDefault="002E63AF" w:rsidP="00700019">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14:paraId="1DCF3488" w14:textId="77777777" w:rsidR="002E63AF" w:rsidRPr="00A3436C" w:rsidRDefault="002E63AF" w:rsidP="00700019">
            <w:pPr>
              <w:spacing w:after="0"/>
              <w:jc w:val="center"/>
              <w:rPr>
                <w:rFonts w:ascii="Arial" w:hAnsi="Arial" w:cs="Arial"/>
                <w:sz w:val="18"/>
                <w:szCs w:val="18"/>
              </w:rPr>
            </w:pPr>
          </w:p>
        </w:tc>
      </w:tr>
      <w:tr w:rsidR="002E63AF" w14:paraId="0A41E415" w14:textId="77777777" w:rsidTr="00700019">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7B842" w14:textId="77777777" w:rsidR="002E63AF" w:rsidRPr="00A3436C" w:rsidRDefault="002E63AF" w:rsidP="00700019">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10847334"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Korea</w:t>
            </w:r>
          </w:p>
        </w:tc>
        <w:tc>
          <w:tcPr>
            <w:tcW w:w="690" w:type="dxa"/>
            <w:tcBorders>
              <w:top w:val="single" w:sz="4" w:space="0" w:color="auto"/>
              <w:left w:val="single" w:sz="4" w:space="0" w:color="auto"/>
              <w:bottom w:val="single" w:sz="4" w:space="0" w:color="auto"/>
              <w:right w:val="single" w:sz="4" w:space="0" w:color="auto"/>
            </w:tcBorders>
            <w:vAlign w:val="center"/>
          </w:tcPr>
          <w:p w14:paraId="44444059"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0965617D"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1159B302"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393508DA" w14:textId="77777777" w:rsidR="002E63AF" w:rsidRPr="00A3436C" w:rsidRDefault="002E63AF" w:rsidP="00700019">
            <w:pPr>
              <w:spacing w:after="0"/>
              <w:jc w:val="center"/>
              <w:rPr>
                <w:rFonts w:ascii="Arial" w:hAnsi="Arial" w:cs="Arial"/>
                <w:sz w:val="18"/>
                <w:szCs w:val="18"/>
              </w:rPr>
            </w:pPr>
          </w:p>
        </w:tc>
        <w:tc>
          <w:tcPr>
            <w:tcW w:w="415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14:paraId="42A164B8" w14:textId="77777777" w:rsidR="002E63AF" w:rsidRPr="00A3436C" w:rsidRDefault="002E63AF" w:rsidP="00700019">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14:paraId="44A1B24C" w14:textId="77777777" w:rsidR="002E63AF" w:rsidRPr="00A3436C" w:rsidRDefault="002E63AF" w:rsidP="00700019">
            <w:pPr>
              <w:spacing w:after="0"/>
              <w:jc w:val="center"/>
              <w:rPr>
                <w:rFonts w:ascii="Arial" w:hAnsi="Arial" w:cs="Arial"/>
                <w:sz w:val="18"/>
                <w:szCs w:val="18"/>
              </w:rPr>
            </w:pPr>
          </w:p>
        </w:tc>
      </w:tr>
      <w:tr w:rsidR="002E63AF" w14:paraId="1CE44B14" w14:textId="77777777" w:rsidTr="00700019">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D79E45" w14:textId="77777777" w:rsidR="002E63AF" w:rsidRPr="00A3436C" w:rsidRDefault="002E63AF" w:rsidP="00700019">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16DF9017"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India</w:t>
            </w:r>
          </w:p>
        </w:tc>
        <w:tc>
          <w:tcPr>
            <w:tcW w:w="690" w:type="dxa"/>
            <w:tcBorders>
              <w:top w:val="single" w:sz="4" w:space="0" w:color="auto"/>
              <w:left w:val="single" w:sz="4" w:space="0" w:color="auto"/>
              <w:bottom w:val="single" w:sz="4" w:space="0" w:color="auto"/>
              <w:right w:val="single" w:sz="4" w:space="0" w:color="auto"/>
            </w:tcBorders>
            <w:vAlign w:val="center"/>
          </w:tcPr>
          <w:p w14:paraId="19A77FB9"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49DBACFB"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0B87EBAF"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78694B86"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7A83414C"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186CF6ED"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27498E62" w14:textId="77777777" w:rsidR="002E63AF" w:rsidRPr="00A3436C" w:rsidRDefault="002E63AF" w:rsidP="00700019">
            <w:pPr>
              <w:spacing w:after="0"/>
              <w:jc w:val="center"/>
              <w:rPr>
                <w:rFonts w:ascii="Arial" w:hAnsi="Arial" w:cs="Arial"/>
                <w:sz w:val="18"/>
                <w:szCs w:val="18"/>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BE8067D"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1F4DCECA" w14:textId="77777777" w:rsidR="002E63AF" w:rsidRPr="00A3436C" w:rsidRDefault="002E63AF" w:rsidP="00700019">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14:paraId="0702EC02" w14:textId="77777777" w:rsidR="002E63AF" w:rsidRPr="00A3436C" w:rsidRDefault="002E63AF" w:rsidP="00700019">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14:paraId="1624CD4A" w14:textId="77777777" w:rsidR="002E63AF" w:rsidRPr="00A3436C" w:rsidRDefault="002E63AF" w:rsidP="00700019">
            <w:pPr>
              <w:spacing w:after="0"/>
              <w:jc w:val="center"/>
              <w:rPr>
                <w:rFonts w:ascii="Arial" w:hAnsi="Arial" w:cs="Arial"/>
                <w:sz w:val="18"/>
                <w:szCs w:val="18"/>
              </w:rPr>
            </w:pPr>
          </w:p>
        </w:tc>
      </w:tr>
      <w:tr w:rsidR="002E63AF" w14:paraId="73F400E0" w14:textId="77777777" w:rsidTr="00700019">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104C5" w14:textId="77777777" w:rsidR="002E63AF" w:rsidRPr="00A3436C" w:rsidRDefault="002E63AF" w:rsidP="00700019">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76C0F6D8"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Taiwan</w:t>
            </w:r>
          </w:p>
        </w:tc>
        <w:tc>
          <w:tcPr>
            <w:tcW w:w="690" w:type="dxa"/>
            <w:tcBorders>
              <w:top w:val="single" w:sz="4" w:space="0" w:color="auto"/>
              <w:left w:val="single" w:sz="4" w:space="0" w:color="auto"/>
              <w:bottom w:val="single" w:sz="4" w:space="0" w:color="auto"/>
              <w:right w:val="single" w:sz="4" w:space="0" w:color="auto"/>
            </w:tcBorders>
            <w:vAlign w:val="center"/>
          </w:tcPr>
          <w:p w14:paraId="63CAB148"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71FFF7E3"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03D5AC6A" w14:textId="77777777" w:rsidR="002E63AF" w:rsidRPr="00A3436C" w:rsidRDefault="002E63AF" w:rsidP="00700019">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3744162E" w14:textId="77777777" w:rsidR="002E63AF" w:rsidRPr="00A3436C" w:rsidRDefault="002E63AF" w:rsidP="00700019">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tcPr>
          <w:p w14:paraId="4A13BAFA" w14:textId="77777777" w:rsidR="002E63AF" w:rsidRPr="00A3436C" w:rsidRDefault="002E63AF" w:rsidP="00700019">
            <w:pPr>
              <w:spacing w:after="0"/>
              <w:jc w:val="center"/>
              <w:rPr>
                <w:rFonts w:ascii="Arial" w:hAnsi="Arial" w:cs="Arial"/>
                <w:sz w:val="18"/>
                <w:szCs w:val="18"/>
              </w:rPr>
            </w:pPr>
            <w:r>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14:paraId="71F8E19C" w14:textId="77777777" w:rsidR="002E63AF" w:rsidRPr="00A3436C" w:rsidRDefault="002E63AF" w:rsidP="00700019">
            <w:pPr>
              <w:spacing w:after="0"/>
              <w:jc w:val="center"/>
              <w:rPr>
                <w:rFonts w:ascii="Arial" w:hAnsi="Arial" w:cs="Arial"/>
                <w:sz w:val="18"/>
                <w:szCs w:val="18"/>
              </w:rPr>
            </w:pPr>
          </w:p>
        </w:tc>
      </w:tr>
      <w:tr w:rsidR="002E63AF" w14:paraId="6CCDEAE1" w14:textId="77777777" w:rsidTr="00700019">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D27E18" w14:textId="77777777" w:rsidR="002E63AF" w:rsidRPr="00A3436C" w:rsidRDefault="002E63AF" w:rsidP="00700019">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14:paraId="103C4E24"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Singapore</w:t>
            </w:r>
          </w:p>
        </w:tc>
        <w:tc>
          <w:tcPr>
            <w:tcW w:w="684" w:type="dxa"/>
            <w:tcBorders>
              <w:top w:val="single" w:sz="4" w:space="0" w:color="auto"/>
              <w:left w:val="single" w:sz="4" w:space="0" w:color="auto"/>
              <w:bottom w:val="single" w:sz="4" w:space="0" w:color="auto"/>
              <w:right w:val="single" w:sz="4" w:space="0" w:color="auto"/>
            </w:tcBorders>
            <w:vAlign w:val="center"/>
          </w:tcPr>
          <w:p w14:paraId="748E7272" w14:textId="77777777" w:rsidR="002E63AF" w:rsidRPr="00A3436C" w:rsidRDefault="002E63AF" w:rsidP="00700019">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14:paraId="17C98889" w14:textId="77777777" w:rsidR="002E63AF" w:rsidRPr="00A3436C" w:rsidRDefault="002E63AF" w:rsidP="00700019">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14:paraId="2987B2D5" w14:textId="77777777" w:rsidR="002E63AF" w:rsidRPr="00A3436C" w:rsidRDefault="002E63AF" w:rsidP="00700019">
            <w:pPr>
              <w:spacing w:after="0"/>
              <w:jc w:val="center"/>
              <w:rPr>
                <w:rFonts w:ascii="Arial" w:hAnsi="Arial" w:cs="Arial"/>
                <w:sz w:val="18"/>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55E45EA8" w14:textId="77777777" w:rsidR="002E63AF" w:rsidRPr="00A3436C" w:rsidRDefault="002E63AF" w:rsidP="00700019">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14:paraId="35104599" w14:textId="77777777" w:rsidR="002E63AF" w:rsidRPr="00A3436C" w:rsidRDefault="002E63AF" w:rsidP="00700019">
            <w:pPr>
              <w:spacing w:after="0"/>
              <w:jc w:val="center"/>
              <w:rPr>
                <w:rFonts w:ascii="Arial" w:hAnsi="Arial" w:cs="Arial"/>
                <w:sz w:val="18"/>
                <w:szCs w:val="18"/>
              </w:rPr>
            </w:pPr>
            <w:r w:rsidRPr="00A3436C">
              <w:rPr>
                <w:rFonts w:ascii="Arial" w:hAnsi="Arial" w:cs="Arial"/>
                <w:sz w:val="18"/>
                <w:szCs w:val="18"/>
              </w:rPr>
              <w:t>U (Mobile)</w:t>
            </w:r>
          </w:p>
        </w:tc>
        <w:tc>
          <w:tcPr>
            <w:tcW w:w="680" w:type="dxa"/>
            <w:tcBorders>
              <w:top w:val="single" w:sz="4" w:space="0" w:color="auto"/>
              <w:left w:val="single" w:sz="4" w:space="0" w:color="auto"/>
              <w:bottom w:val="single" w:sz="4" w:space="0" w:color="auto"/>
              <w:right w:val="single" w:sz="4" w:space="0" w:color="auto"/>
            </w:tcBorders>
            <w:vAlign w:val="center"/>
          </w:tcPr>
          <w:p w14:paraId="4C4ACE01" w14:textId="77777777" w:rsidR="002E63AF" w:rsidRPr="00A3436C" w:rsidRDefault="002E63AF" w:rsidP="00700019">
            <w:pPr>
              <w:spacing w:after="0"/>
              <w:jc w:val="center"/>
              <w:rPr>
                <w:rFonts w:ascii="Arial" w:hAnsi="Arial" w:cs="Arial"/>
                <w:sz w:val="18"/>
                <w:szCs w:val="18"/>
              </w:rPr>
            </w:pPr>
          </w:p>
        </w:tc>
      </w:tr>
      <w:tr w:rsidR="002E63AF" w14:paraId="44EF1EF0" w14:textId="77777777" w:rsidTr="00700019">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B8B6DF" w14:textId="77777777" w:rsidR="002E63AF" w:rsidRPr="00A3436C" w:rsidRDefault="002E63AF" w:rsidP="00700019">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14:paraId="734C49AC" w14:textId="77777777" w:rsidR="002E63AF" w:rsidRPr="00A3436C" w:rsidRDefault="002E63AF" w:rsidP="00700019">
            <w:pPr>
              <w:spacing w:after="0"/>
              <w:jc w:val="center"/>
              <w:rPr>
                <w:rFonts w:ascii="Arial" w:hAnsi="Arial" w:cs="Arial"/>
                <w:b/>
                <w:sz w:val="18"/>
                <w:szCs w:val="18"/>
              </w:rPr>
            </w:pPr>
            <w:r w:rsidRPr="00A3436C">
              <w:rPr>
                <w:rFonts w:ascii="Arial" w:hAnsi="Arial" w:cs="Arial"/>
                <w:b/>
                <w:sz w:val="18"/>
                <w:szCs w:val="18"/>
              </w:rPr>
              <w:t>Australia</w:t>
            </w:r>
          </w:p>
        </w:tc>
        <w:tc>
          <w:tcPr>
            <w:tcW w:w="684" w:type="dxa"/>
            <w:tcBorders>
              <w:top w:val="single" w:sz="4" w:space="0" w:color="auto"/>
              <w:left w:val="single" w:sz="4" w:space="0" w:color="auto"/>
              <w:bottom w:val="single" w:sz="4" w:space="0" w:color="auto"/>
              <w:right w:val="single" w:sz="4" w:space="0" w:color="auto"/>
            </w:tcBorders>
            <w:vAlign w:val="center"/>
          </w:tcPr>
          <w:p w14:paraId="50B34252" w14:textId="77777777" w:rsidR="002E63AF" w:rsidRPr="00A3436C" w:rsidRDefault="002E63AF" w:rsidP="00700019">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14:paraId="080420EE" w14:textId="77777777" w:rsidR="002E63AF" w:rsidRPr="00A3436C" w:rsidRDefault="002E63AF" w:rsidP="00700019">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14:paraId="216FF579" w14:textId="77777777" w:rsidR="002E63AF" w:rsidRPr="00A3436C" w:rsidRDefault="002E63AF" w:rsidP="00700019">
            <w:pPr>
              <w:spacing w:after="0"/>
              <w:jc w:val="center"/>
              <w:rPr>
                <w:rFonts w:ascii="Arial" w:hAnsi="Arial" w:cs="Arial"/>
                <w:sz w:val="18"/>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5F28E079" w14:textId="77777777" w:rsidR="002E63AF" w:rsidRPr="00A3436C" w:rsidRDefault="002E63AF" w:rsidP="00700019">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14:paraId="3E3860AB" w14:textId="77777777" w:rsidR="002E63AF" w:rsidRPr="00A3436C" w:rsidRDefault="002E63AF" w:rsidP="00700019">
            <w:pPr>
              <w:spacing w:after="0"/>
              <w:jc w:val="center"/>
              <w:rPr>
                <w:rFonts w:ascii="Arial" w:hAnsi="Arial" w:cs="Arial"/>
                <w:sz w:val="18"/>
                <w:szCs w:val="18"/>
              </w:rPr>
            </w:pPr>
            <w:r w:rsidRPr="00A3436C">
              <w:rPr>
                <w:rFonts w:ascii="Arial" w:hAnsi="Arial" w:cs="Arial"/>
                <w:sz w:val="18"/>
                <w:szCs w:val="18"/>
              </w:rPr>
              <w:t>U (Mobile)</w:t>
            </w:r>
          </w:p>
        </w:tc>
        <w:tc>
          <w:tcPr>
            <w:tcW w:w="680" w:type="dxa"/>
            <w:tcBorders>
              <w:top w:val="single" w:sz="4" w:space="0" w:color="auto"/>
              <w:left w:val="single" w:sz="4" w:space="0" w:color="auto"/>
              <w:bottom w:val="single" w:sz="4" w:space="0" w:color="auto"/>
              <w:right w:val="single" w:sz="4" w:space="0" w:color="auto"/>
            </w:tcBorders>
            <w:vAlign w:val="center"/>
          </w:tcPr>
          <w:p w14:paraId="13E14A61" w14:textId="77777777" w:rsidR="002E63AF" w:rsidRPr="00A3436C" w:rsidRDefault="002E63AF" w:rsidP="00700019">
            <w:pPr>
              <w:spacing w:after="0"/>
              <w:jc w:val="center"/>
              <w:rPr>
                <w:rFonts w:ascii="Arial" w:hAnsi="Arial" w:cs="Arial"/>
                <w:sz w:val="18"/>
                <w:szCs w:val="18"/>
              </w:rPr>
            </w:pPr>
          </w:p>
        </w:tc>
      </w:tr>
      <w:tr w:rsidR="002E63AF" w14:paraId="479D033B" w14:textId="77777777" w:rsidTr="00700019">
        <w:trPr>
          <w:trHeight w:val="262"/>
        </w:trPr>
        <w:tc>
          <w:tcPr>
            <w:tcW w:w="9631" w:type="dxa"/>
            <w:gridSpan w:val="13"/>
            <w:tcBorders>
              <w:top w:val="single" w:sz="4" w:space="0" w:color="auto"/>
              <w:left w:val="single" w:sz="4" w:space="0" w:color="auto"/>
              <w:bottom w:val="single" w:sz="4" w:space="0" w:color="auto"/>
              <w:right w:val="single" w:sz="4" w:space="0" w:color="auto"/>
            </w:tcBorders>
            <w:vAlign w:val="center"/>
          </w:tcPr>
          <w:p w14:paraId="2482C3C4" w14:textId="77777777" w:rsidR="002E63AF" w:rsidRPr="00135CB4" w:rsidRDefault="002E63AF" w:rsidP="00700019">
            <w:pPr>
              <w:pStyle w:val="TAN"/>
            </w:pPr>
            <w:r w:rsidRPr="00135CB4">
              <w:t>NOTE</w:t>
            </w:r>
            <w:r>
              <w:t xml:space="preserve"> 1:</w:t>
            </w:r>
            <w:r w:rsidRPr="00135CB4">
              <w:t xml:space="preserve"> Access regime currently under discussion in CEPT</w:t>
            </w:r>
          </w:p>
        </w:tc>
      </w:tr>
    </w:tbl>
    <w:p w14:paraId="4201CD61" w14:textId="77777777" w:rsidR="002E63AF" w:rsidRDefault="002E63AF" w:rsidP="008A2C71">
      <w:pPr>
        <w:pStyle w:val="BodyText"/>
      </w:pPr>
    </w:p>
    <w:p w14:paraId="2E873C60" w14:textId="31E6732F" w:rsidR="008A2C71" w:rsidRPr="00F12222" w:rsidRDefault="00C846E3" w:rsidP="008A2C71">
      <w:pPr>
        <w:pStyle w:val="BodyText"/>
      </w:pPr>
      <w:r>
        <w:t>As noted in the above</w:t>
      </w:r>
      <w:r w:rsidR="00D54FC1">
        <w:t xml:space="preserve">, </w:t>
      </w:r>
      <w:r w:rsidR="006922CE">
        <w:t xml:space="preserve">updates for </w:t>
      </w:r>
      <w:r w:rsidR="00F856A6">
        <w:t xml:space="preserve">the 66 – 71 GHz band </w:t>
      </w:r>
      <w:r w:rsidR="009B5122">
        <w:t xml:space="preserve">are needed. </w:t>
      </w:r>
      <w:r w:rsidR="008A2C71">
        <w:t>At WRC-19 (Nov 2019), the frequency range 66</w:t>
      </w:r>
      <w:r w:rsidR="003529A0">
        <w:t xml:space="preserve"> – </w:t>
      </w:r>
      <w:r w:rsidR="008A2C71">
        <w:t>71 GHz was identified for IMT</w:t>
      </w:r>
      <w:r w:rsidR="0049337E">
        <w:t xml:space="preserve"> operations</w:t>
      </w:r>
      <w:r w:rsidR="008A2C71">
        <w:t xml:space="preserve">. The WRC-19 decision amends the ITU Radio Regulations </w:t>
      </w:r>
      <w:r w:rsidR="008A2C71" w:rsidRPr="00F12222">
        <w:t>by</w:t>
      </w:r>
      <w:r w:rsidR="008A2C71" w:rsidRPr="002161B3">
        <w:t xml:space="preserve"> in</w:t>
      </w:r>
      <w:r w:rsidR="008A2C71" w:rsidRPr="00F12222">
        <w:t>cluding IMT identification for the band and pointing to Resolution 241. This resolution resolves:</w:t>
      </w:r>
    </w:p>
    <w:p w14:paraId="2016612F" w14:textId="38689D0D" w:rsidR="008A2C71" w:rsidRPr="00FB6421" w:rsidRDefault="05652DBC" w:rsidP="00FB6421">
      <w:pPr>
        <w:pStyle w:val="BodyText"/>
        <w:numPr>
          <w:ilvl w:val="0"/>
          <w:numId w:val="36"/>
        </w:numPr>
      </w:pPr>
      <w:r w:rsidRPr="00105F05">
        <w:t>T</w:t>
      </w:r>
      <w:r w:rsidR="008A2C71" w:rsidRPr="00105F05">
        <w:t>hat</w:t>
      </w:r>
      <w:r w:rsidR="008A2C71" w:rsidRPr="00FB6421">
        <w:t xml:space="preserve"> administrations wishing to implement IMT make available the frequency band 66-71 GHz identified in No. 5.559AA </w:t>
      </w:r>
      <w:r w:rsidR="008A2C71" w:rsidRPr="00105F05">
        <w:t>for use by the terrestrial component of IMT;</w:t>
      </w:r>
    </w:p>
    <w:p w14:paraId="159B0C69" w14:textId="205DDFD4" w:rsidR="008A2C71" w:rsidRPr="00FB6421" w:rsidRDefault="51170FB9" w:rsidP="00FB6421">
      <w:pPr>
        <w:pStyle w:val="BodyText"/>
        <w:numPr>
          <w:ilvl w:val="0"/>
          <w:numId w:val="36"/>
        </w:numPr>
      </w:pPr>
      <w:r w:rsidRPr="00FB6421">
        <w:t>T</w:t>
      </w:r>
      <w:r w:rsidR="008A2C71" w:rsidRPr="00FB6421">
        <w:t xml:space="preserve">hat administrations wishing to implement IMT in the frequency band </w:t>
      </w:r>
      <w:r w:rsidR="0097727E">
        <w:t xml:space="preserve">66 – 71 </w:t>
      </w:r>
      <w:r w:rsidR="008A2C71" w:rsidRPr="00105F05">
        <w:t xml:space="preserve">GHz, identified for IMT </w:t>
      </w:r>
      <w:r w:rsidR="008A2C71" w:rsidRPr="00FB6421">
        <w:t>under the provisions in No. 5.559AA</w:t>
      </w:r>
      <w:r w:rsidR="008A2C71" w:rsidRPr="00105F05">
        <w:t>, which also wish to implement other applications of the mobile service, including other wireless access systems in the same frequency band, consider coexistence between IMT and these applications</w:t>
      </w:r>
      <w:r w:rsidR="642C631A" w:rsidRPr="00FB6421">
        <w:t>.</w:t>
      </w:r>
    </w:p>
    <w:p w14:paraId="2E03CB21" w14:textId="4DF652EA" w:rsidR="008A2C71" w:rsidRDefault="008A2C71" w:rsidP="008A2C71">
      <w:pPr>
        <w:pStyle w:val="BodyText"/>
      </w:pPr>
      <w:r w:rsidRPr="00780D54">
        <w:t>CEPT</w:t>
      </w:r>
      <w:r>
        <w:t xml:space="preserve"> has defined the</w:t>
      </w:r>
      <w:r w:rsidRPr="00780D54">
        <w:t xml:space="preserve"> frequency bands and regulatory parameters for the 57</w:t>
      </w:r>
      <w:r w:rsidR="00FA3FFF">
        <w:t xml:space="preserve"> – </w:t>
      </w:r>
      <w:r w:rsidRPr="00780D54">
        <w:t>71</w:t>
      </w:r>
      <w:r w:rsidR="00FA3FFF">
        <w:t xml:space="preserve"> </w:t>
      </w:r>
      <w:r w:rsidRPr="00780D54">
        <w:t>GHz band for Wideband Data Transmission Systems in ERC/REC 70-03</w:t>
      </w:r>
      <w:r>
        <w:t xml:space="preserve"> </w:t>
      </w:r>
      <w:r>
        <w:fldChar w:fldCharType="begin"/>
      </w:r>
      <w:r>
        <w:instrText xml:space="preserve"> REF _Ref40173942 \r \h </w:instrText>
      </w:r>
      <w:r w:rsidR="00B02962">
        <w:instrText xml:space="preserve"> \* MERGEFORMAT </w:instrText>
      </w:r>
      <w:r>
        <w:fldChar w:fldCharType="separate"/>
      </w:r>
      <w:r w:rsidR="005A26D8">
        <w:t>[9]</w:t>
      </w:r>
      <w:r>
        <w:fldChar w:fldCharType="end"/>
      </w:r>
      <w:r>
        <w:t xml:space="preserve">. Triggered by the WRC decision and the opinion of the Radio Spectrum Policy Group (RSPG), EC has issued a follow-up mandate </w:t>
      </w:r>
      <w:r w:rsidR="00C12778">
        <w:fldChar w:fldCharType="begin"/>
      </w:r>
      <w:r w:rsidR="00C12778">
        <w:instrText xml:space="preserve"> REF _Ref40173974 \r \h </w:instrText>
      </w:r>
      <w:r w:rsidR="00B02962">
        <w:instrText xml:space="preserve"> \* MERGEFORMAT </w:instrText>
      </w:r>
      <w:r w:rsidR="00C12778">
        <w:fldChar w:fldCharType="separate"/>
      </w:r>
      <w:r w:rsidR="005A26D8">
        <w:t>[10]</w:t>
      </w:r>
      <w:r w:rsidR="00C12778">
        <w:fldChar w:fldCharType="end"/>
      </w:r>
      <w:r w:rsidR="009F35C1">
        <w:t xml:space="preserve"> </w:t>
      </w:r>
      <w:r>
        <w:t>to CEPT to:</w:t>
      </w:r>
    </w:p>
    <w:p w14:paraId="62947193" w14:textId="573E25A1" w:rsidR="008A2C71" w:rsidRDefault="008A2C71" w:rsidP="00FB6421">
      <w:pPr>
        <w:pStyle w:val="BodyText"/>
        <w:ind w:left="720" w:right="999"/>
      </w:pPr>
      <w:r>
        <w:t>“review and revise, only if necessary, the EU-</w:t>
      </w:r>
      <w:proofErr w:type="spellStart"/>
      <w:r>
        <w:t>harmonised</w:t>
      </w:r>
      <w:proofErr w:type="spellEnd"/>
      <w:r>
        <w:t xml:space="preserve"> technical conditions for use of the 66</w:t>
      </w:r>
      <w:r w:rsidR="00C5721E">
        <w:t xml:space="preserve"> – </w:t>
      </w:r>
      <w:r>
        <w:t>71</w:t>
      </w:r>
      <w:r w:rsidR="00C5721E">
        <w:t xml:space="preserve"> </w:t>
      </w:r>
      <w:r>
        <w:t>GHz frequency band</w:t>
      </w:r>
      <w:r w:rsidRPr="002161B3">
        <w:t xml:space="preserve"> </w:t>
      </w:r>
      <w:r w:rsidRPr="00F12222">
        <w:t>with view to use of this band for next-generation (5G) wireless broadband electronic communications services</w:t>
      </w:r>
      <w:r w:rsidRPr="002161B3">
        <w:t xml:space="preserve"> </w:t>
      </w:r>
      <w:r>
        <w:t>…”</w:t>
      </w:r>
    </w:p>
    <w:p w14:paraId="73D60444" w14:textId="77777777" w:rsidR="008A2C71" w:rsidRDefault="008A2C71" w:rsidP="008A2C71">
      <w:pPr>
        <w:pStyle w:val="BodyText"/>
      </w:pPr>
      <w:r>
        <w:t xml:space="preserve">The upcoming CEPT/ECC plenary meeting at the end of June will handle this mandate. </w:t>
      </w:r>
      <w:r w:rsidRPr="00A60944">
        <w:t>The draft re</w:t>
      </w:r>
      <w:r>
        <w:t>port</w:t>
      </w:r>
      <w:r w:rsidRPr="00A60944">
        <w:t xml:space="preserve"> to the EC is </w:t>
      </w:r>
      <w:r>
        <w:t>due</w:t>
      </w:r>
      <w:r w:rsidRPr="00A60944">
        <w:t xml:space="preserve"> March 2021 with the final report due June 2021.</w:t>
      </w:r>
    </w:p>
    <w:p w14:paraId="220C92D8" w14:textId="27572EEE" w:rsidR="003B189E" w:rsidRPr="00A60944" w:rsidRDefault="005A75D1" w:rsidP="008A2C71">
      <w:pPr>
        <w:pStyle w:val="BodyText"/>
      </w:pPr>
      <w:r>
        <w:t xml:space="preserve">As also noted in the WID, </w:t>
      </w:r>
      <w:r w:rsidR="008127D2">
        <w:t xml:space="preserve">both licensed and unlicensed </w:t>
      </w:r>
      <w:r w:rsidR="00E528D0">
        <w:t xml:space="preserve">operations </w:t>
      </w:r>
      <w:r w:rsidR="008204DE">
        <w:t xml:space="preserve">are of equal importance in the design to extend NR </w:t>
      </w:r>
      <w:r w:rsidR="00C21D48">
        <w:t>operations in</w:t>
      </w:r>
      <w:r w:rsidR="000B699B">
        <w:t>to the 52.6 – 71 GHz frequency range.</w:t>
      </w:r>
    </w:p>
    <w:p w14:paraId="3771C5B2" w14:textId="77777777" w:rsidR="00AF660C" w:rsidRDefault="00AF660C" w:rsidP="00AF660C">
      <w:pPr>
        <w:pStyle w:val="BodyText"/>
      </w:pPr>
    </w:p>
    <w:bookmarkEnd w:id="1"/>
    <w:p w14:paraId="4A396E80" w14:textId="77777777" w:rsidR="008A2C71" w:rsidRDefault="008A2C71" w:rsidP="008A2C71">
      <w:pPr>
        <w:pStyle w:val="Heading1"/>
      </w:pPr>
      <w:r>
        <w:lastRenderedPageBreak/>
        <w:t>3</w:t>
      </w:r>
      <w:r>
        <w:tab/>
        <w:t>Archetypal use cases, deployment scenarios and beamforming capabilities</w:t>
      </w:r>
    </w:p>
    <w:p w14:paraId="1850F7AC" w14:textId="5C3F90DF" w:rsidR="008A2C71" w:rsidRPr="00EA0A41" w:rsidRDefault="008A2C71" w:rsidP="008A2C71">
      <w:pPr>
        <w:pStyle w:val="BodyText"/>
      </w:pPr>
      <w:r>
        <w:t xml:space="preserve">In TR 38.807 </w:t>
      </w:r>
      <w:r>
        <w:fldChar w:fldCharType="begin"/>
      </w:r>
      <w:r>
        <w:instrText xml:space="preserve"> REF _Ref37858330 \r \h </w:instrText>
      </w:r>
      <w:r>
        <w:fldChar w:fldCharType="separate"/>
      </w:r>
      <w:r w:rsidR="005A26D8">
        <w:t>[1]</w:t>
      </w:r>
      <w:r>
        <w:fldChar w:fldCharType="end"/>
      </w:r>
      <w:r>
        <w:t xml:space="preserve">, a range of potential use cases was identified including </w:t>
      </w:r>
      <w:r w:rsidRPr="00EA0A41">
        <w:t xml:space="preserve">high data rate </w:t>
      </w:r>
      <w:proofErr w:type="spellStart"/>
      <w:r w:rsidRPr="00EA0A41">
        <w:t>eMBB</w:t>
      </w:r>
      <w:proofErr w:type="spellEnd"/>
      <w:r w:rsidRPr="00EA0A41">
        <w:t>, mobile data offloading, short range high-data rate D2D communications, broadband distribution networks, integrated access backhaul (IAB), factory automation, industrial IoT (</w:t>
      </w:r>
      <w:proofErr w:type="spellStart"/>
      <w:r w:rsidRPr="00EA0A41">
        <w:t>IIoT</w:t>
      </w:r>
      <w:proofErr w:type="spellEnd"/>
      <w:r w:rsidRPr="00EA0A41">
        <w:t>), wireless display transfer, augmented reality (AR)/virtual reality (VR) wearables, intelligent transport systems (ITS) and V2X, data center inter-rack connectivity, smart grid automation, private networks, and support of high positioning accuracy. The use cases span over several deployment scenarios identified in the study. The deployment scenarios include, but not limited to, indoor hotspot, dense urban, urban micro, urban macro, rural, factor</w:t>
      </w:r>
      <w:r>
        <w:t>y</w:t>
      </w:r>
      <w:r w:rsidRPr="00EA0A41">
        <w:t xml:space="preserve"> hall, and indoor D2D scenarios. </w:t>
      </w:r>
    </w:p>
    <w:p w14:paraId="753A4CC9" w14:textId="77777777" w:rsidR="008A2C71" w:rsidRPr="00EA0A41" w:rsidRDefault="008A2C71" w:rsidP="008A2C71">
      <w:pPr>
        <w:pStyle w:val="BodyText"/>
      </w:pPr>
      <w:r w:rsidRPr="00EA0A41">
        <w:t xml:space="preserve">To further the discussion and to assist quantitative evaluations on NR support of 52.6 GHz to 71 GHz, we discuss and </w:t>
      </w:r>
      <w:r>
        <w:t>categorize</w:t>
      </w:r>
      <w:r w:rsidRPr="00EA0A41">
        <w:t xml:space="preserve"> this large range of use cases and deployment scenarios into three major archetypes. For each of the use case and deployment scenario archetypes, we further provide our views on the realistic beamforming setups and capabilities for the purpose </w:t>
      </w:r>
      <w:r>
        <w:t>of</w:t>
      </w:r>
      <w:r w:rsidRPr="00EA0A41">
        <w:t xml:space="preserve"> enabling informative quantitative evaluations and system designs.</w:t>
      </w:r>
    </w:p>
    <w:p w14:paraId="58A0A9EA" w14:textId="77777777" w:rsidR="008A2C71" w:rsidRDefault="008A2C71" w:rsidP="008A2C71">
      <w:pPr>
        <w:pStyle w:val="Heading2"/>
      </w:pPr>
      <w:r>
        <w:t>3.1</w:t>
      </w:r>
      <w:r>
        <w:tab/>
        <w:t>Indoor mobility use cases and deployments</w:t>
      </w:r>
    </w:p>
    <w:p w14:paraId="26A34941" w14:textId="77777777" w:rsidR="008A2C71" w:rsidRDefault="008A2C71" w:rsidP="008A2C71">
      <w:pPr>
        <w:pStyle w:val="BodyText"/>
      </w:pPr>
      <w:r w:rsidRPr="00D702EB">
        <w:t xml:space="preserve">The indoor </w:t>
      </w:r>
      <w:r>
        <w:rPr>
          <w:rFonts w:hint="eastAsia"/>
        </w:rPr>
        <w:t>hotspot deployment scenario</w:t>
      </w:r>
      <w:r>
        <w:t xml:space="preserve"> focuses on small</w:t>
      </w:r>
      <w:r w:rsidRPr="00D702EB">
        <w:t xml:space="preserve"> </w:t>
      </w:r>
      <w:r>
        <w:rPr>
          <w:rFonts w:hint="eastAsia"/>
        </w:rPr>
        <w:t>coverage</w:t>
      </w:r>
      <w:r w:rsidRPr="00D702EB">
        <w:t xml:space="preserve"> </w:t>
      </w:r>
      <w:r w:rsidRPr="00EE7945">
        <w:rPr>
          <w:rFonts w:hint="eastAsia"/>
        </w:rPr>
        <w:t>per site/TRP (</w:t>
      </w:r>
      <w:r w:rsidRPr="00EE7945">
        <w:t>transmission</w:t>
      </w:r>
      <w:r w:rsidRPr="00EE7945">
        <w:rPr>
          <w:rFonts w:hint="eastAsia"/>
        </w:rPr>
        <w:t xml:space="preserve"> and reception point)</w:t>
      </w:r>
      <w:r>
        <w:rPr>
          <w:rFonts w:hint="eastAsia"/>
        </w:rPr>
        <w:t xml:space="preserve"> </w:t>
      </w:r>
      <w:r w:rsidRPr="00D702EB">
        <w:t xml:space="preserve">and high user throughput or user density in buildings. </w:t>
      </w:r>
      <w:r>
        <w:t>The factory hall deployment scenario focuses on medium coverage per site/TRP and high user throughput and high user density inside the buildings. For both, t</w:t>
      </w:r>
      <w:r w:rsidRPr="00D702EB">
        <w:t xml:space="preserve">he key characteristics of this </w:t>
      </w:r>
      <w:r>
        <w:rPr>
          <w:rFonts w:hint="eastAsia"/>
        </w:rPr>
        <w:t>deployment scenario</w:t>
      </w:r>
      <w:r w:rsidRPr="00D702EB">
        <w:t xml:space="preserve"> are </w:t>
      </w:r>
      <w:r>
        <w:t xml:space="preserve">seamless mobility, </w:t>
      </w:r>
      <w:r>
        <w:rPr>
          <w:rFonts w:hint="eastAsia"/>
        </w:rPr>
        <w:t>h</w:t>
      </w:r>
      <w:r>
        <w:t xml:space="preserve">igh capacity, </w:t>
      </w:r>
      <w:r>
        <w:rPr>
          <w:rFonts w:hint="eastAsia"/>
        </w:rPr>
        <w:t xml:space="preserve">and </w:t>
      </w:r>
      <w:r w:rsidRPr="00D702EB">
        <w:t>consisten</w:t>
      </w:r>
      <w:r>
        <w:t>t user experience and link availability</w:t>
      </w:r>
      <w:r w:rsidRPr="00D702EB">
        <w:t>.</w:t>
      </w:r>
      <w:r>
        <w:t xml:space="preserve"> A gNB equipped with 2x4 or 4x8 antenna panel per polarization can be expected. On the mobile UE/device side, beamforming capabilities may vary with low-cost simple devices equipped with one or two antenna elements to a panel with 2x2 antenna elements per polarization.</w:t>
      </w:r>
    </w:p>
    <w:p w14:paraId="613E14E2" w14:textId="017C545C" w:rsidR="008A2C71" w:rsidRDefault="008A2C71" w:rsidP="008A2C71">
      <w:pPr>
        <w:pStyle w:val="BodyText"/>
      </w:pPr>
      <w:r w:rsidRPr="00DD67CB">
        <w:t xml:space="preserve">In </w:t>
      </w:r>
      <w:r>
        <w:t>s</w:t>
      </w:r>
      <w:r w:rsidRPr="007D58F0">
        <w:t xml:space="preserve">hort-range </w:t>
      </w:r>
      <w:r>
        <w:t xml:space="preserve">D2D </w:t>
      </w:r>
      <w:r w:rsidRPr="00DD67CB">
        <w:t xml:space="preserve">deployment scenario, usually </w:t>
      </w:r>
      <w:r w:rsidR="00607F92" w:rsidRPr="00DD67CB">
        <w:t>low-cost</w:t>
      </w:r>
      <w:r w:rsidRPr="00DD67CB">
        <w:t xml:space="preserve"> device</w:t>
      </w:r>
      <w:r>
        <w:t>s</w:t>
      </w:r>
      <w:r w:rsidRPr="00DD67CB">
        <w:t xml:space="preserve"> </w:t>
      </w:r>
      <w:r>
        <w:t>are</w:t>
      </w:r>
      <w:r w:rsidRPr="00DD67CB">
        <w:t xml:space="preserve"> involved</w:t>
      </w:r>
      <w:r>
        <w:t>. Typically,</w:t>
      </w:r>
      <w:r w:rsidRPr="00DD67CB">
        <w:t xml:space="preserve"> the transmit power is lower and the antenna elements </w:t>
      </w:r>
      <w:r>
        <w:t xml:space="preserve">are </w:t>
      </w:r>
      <w:r w:rsidRPr="00DD67CB">
        <w:t xml:space="preserve">much </w:t>
      </w:r>
      <w:r>
        <w:t xml:space="preserve">fewer </w:t>
      </w:r>
      <w:r w:rsidRPr="00DD67CB">
        <w:t xml:space="preserve">compared with regular </w:t>
      </w:r>
      <w:r>
        <w:t xml:space="preserve">mobile </w:t>
      </w:r>
      <w:r w:rsidRPr="00DD67CB">
        <w:t>UE</w:t>
      </w:r>
      <w:r>
        <w:t>s</w:t>
      </w:r>
      <w:r w:rsidRPr="00DD67CB">
        <w:t xml:space="preserve">. </w:t>
      </w:r>
      <w:r>
        <w:t>As a result, t</w:t>
      </w:r>
      <w:r w:rsidRPr="00DD67CB">
        <w:t>he distance</w:t>
      </w:r>
      <w:r>
        <w:t>s</w:t>
      </w:r>
      <w:r w:rsidRPr="00DD67CB">
        <w:t xml:space="preserve"> between the communicating devices </w:t>
      </w:r>
      <w:r>
        <w:t xml:space="preserve">are generally limited to </w:t>
      </w:r>
      <w:r w:rsidRPr="00DD67CB">
        <w:t>less than 5m</w:t>
      </w:r>
      <w:r>
        <w:t>. The transmitters and receivers are usually equipped with one or two antenna elements per polarization.</w:t>
      </w:r>
    </w:p>
    <w:p w14:paraId="25B40CE0" w14:textId="77777777" w:rsidR="008A2C71" w:rsidRDefault="008A2C71" w:rsidP="008A2C71">
      <w:pPr>
        <w:pStyle w:val="Heading2"/>
      </w:pPr>
      <w:r>
        <w:t>3.2</w:t>
      </w:r>
      <w:r>
        <w:tab/>
        <w:t>Outdoor mobility use cases and deployments</w:t>
      </w:r>
    </w:p>
    <w:p w14:paraId="075EC100" w14:textId="77777777" w:rsidR="008A2C71" w:rsidRDefault="008A2C71" w:rsidP="008A2C71">
      <w:pPr>
        <w:pStyle w:val="BodyText"/>
      </w:pPr>
      <w:r w:rsidRPr="003A1AC5">
        <w:t xml:space="preserve">The </w:t>
      </w:r>
      <w:r w:rsidRPr="00943248">
        <w:t>urban micro</w:t>
      </w:r>
      <w:r>
        <w:t xml:space="preserve"> </w:t>
      </w:r>
      <w:r w:rsidRPr="00943248">
        <w:t>cellular</w:t>
      </w:r>
      <w:r w:rsidRPr="003A1AC5">
        <w:t xml:space="preserve"> </w:t>
      </w:r>
      <w:r>
        <w:rPr>
          <w:rFonts w:hint="eastAsia"/>
        </w:rPr>
        <w:t>deployment</w:t>
      </w:r>
      <w:r w:rsidRPr="003A1AC5">
        <w:t xml:space="preserve"> </w:t>
      </w:r>
      <w:r>
        <w:rPr>
          <w:rFonts w:hint="eastAsia"/>
        </w:rPr>
        <w:t>scenario</w:t>
      </w:r>
      <w:r w:rsidRPr="003A1AC5">
        <w:t xml:space="preserve"> focuses on high user densities and traffic loads in city </w:t>
      </w:r>
      <w:proofErr w:type="spellStart"/>
      <w:r w:rsidRPr="003A1AC5">
        <w:t>centres</w:t>
      </w:r>
      <w:proofErr w:type="spellEnd"/>
      <w:r>
        <w:t xml:space="preserve">, </w:t>
      </w:r>
      <w:r w:rsidRPr="003A1AC5">
        <w:t>dense urban areas</w:t>
      </w:r>
      <w:r>
        <w:t xml:space="preserve"> and high traffic / event hot spots</w:t>
      </w:r>
      <w:r w:rsidRPr="003A1AC5">
        <w:t xml:space="preserve">. The key characteristics of this </w:t>
      </w:r>
      <w:r>
        <w:rPr>
          <w:rFonts w:hint="eastAsia"/>
        </w:rPr>
        <w:t>deployment scenario</w:t>
      </w:r>
      <w:r>
        <w:t xml:space="preserve"> are high traffic load</w:t>
      </w:r>
      <w:r>
        <w:rPr>
          <w:rFonts w:hint="eastAsia"/>
        </w:rPr>
        <w:t xml:space="preserve">s, </w:t>
      </w:r>
      <w:r>
        <w:t xml:space="preserve">high user density, </w:t>
      </w:r>
      <w:r w:rsidRPr="003A1AC5">
        <w:t>outdoor and outdoor-to-indoor coverage</w:t>
      </w:r>
      <w:r>
        <w:t xml:space="preserve"> for mobile UEs. The UE is provided with continuous cellular connectivity using a lower frequency while being served with high traffic loads using frequencies above 52.6 GHz. To increase coverage, the base stations can be expected to be equipped with larger beamforming arrays than those typical for the indoor use cases. A gNB equipped with 4x8 or 8x16 antenna panel per polarization can be expected. On the mobile UE/device side, beamforming capabilities may be equipped with a panel with 2x2 up to 4x4 antenna elements per polarization.</w:t>
      </w:r>
    </w:p>
    <w:p w14:paraId="591EC563" w14:textId="77777777" w:rsidR="008A2C71" w:rsidRDefault="008A2C71" w:rsidP="008A2C71">
      <w:pPr>
        <w:pStyle w:val="Heading2"/>
      </w:pPr>
      <w:r>
        <w:t>3.3</w:t>
      </w:r>
      <w:r>
        <w:tab/>
        <w:t>Fixed deployment use cases</w:t>
      </w:r>
    </w:p>
    <w:p w14:paraId="0C873D23" w14:textId="77777777" w:rsidR="008A2C71" w:rsidRPr="00EA0A41" w:rsidRDefault="008A2C71" w:rsidP="008A2C71">
      <w:pPr>
        <w:pStyle w:val="BodyText"/>
      </w:pPr>
      <w:r w:rsidRPr="00A4766A">
        <w:t>The</w:t>
      </w:r>
      <w:r>
        <w:t xml:space="preserve"> integrated access backhaul (IAB)</w:t>
      </w:r>
      <w:r w:rsidRPr="00A4766A">
        <w:t xml:space="preserve"> use case mainly is applied for backhauling deployment when optical </w:t>
      </w:r>
      <w:proofErr w:type="spellStart"/>
      <w:r>
        <w:t>fibre</w:t>
      </w:r>
      <w:proofErr w:type="spellEnd"/>
      <w:r>
        <w:t xml:space="preserve"> </w:t>
      </w:r>
      <w:r w:rsidRPr="00A4766A">
        <w:t>or dedicated wireless backhaul is unavailable or inconvenient. Such backhauling can take advantage from the currently developed NR IAB</w:t>
      </w:r>
      <w:r>
        <w:t xml:space="preserve"> framework</w:t>
      </w:r>
      <w:r w:rsidRPr="00A4766A">
        <w:t xml:space="preserve">, where some nodes serve both backhaul and access. In this use case, devices operate with LOS under most conditions, though obstruction of the LOS may occur occasionally, so directional transmission can extend the distance between the </w:t>
      </w:r>
      <w:proofErr w:type="spellStart"/>
      <w:r w:rsidRPr="00A4766A">
        <w:t>gNBs</w:t>
      </w:r>
      <w:proofErr w:type="spellEnd"/>
      <w:r w:rsidRPr="00A4766A">
        <w:t>.</w:t>
      </w:r>
      <w:r>
        <w:t xml:space="preserve"> For these fixed installation cases, regulations allow higher transmission powers and beamforming gains. For instance, the North America allows maximum average EIRP of 82 dBm with an antenna gain of 51 </w:t>
      </w:r>
      <w:proofErr w:type="spellStart"/>
      <w:r>
        <w:t>dBi</w:t>
      </w:r>
      <w:proofErr w:type="spellEnd"/>
      <w:r>
        <w:t>. For these use cases, larger array sizes such as those up to 8x8 per polarization on both transmitter and receiver sides may be expected.</w:t>
      </w:r>
    </w:p>
    <w:p w14:paraId="36165273" w14:textId="77777777" w:rsidR="002923EA" w:rsidRDefault="002923EA" w:rsidP="002923EA">
      <w:pPr>
        <w:pStyle w:val="BodyText"/>
      </w:pPr>
    </w:p>
    <w:p w14:paraId="3B4116D8" w14:textId="77777777" w:rsidR="008A2C71" w:rsidRDefault="008A2C71" w:rsidP="008A2C71">
      <w:pPr>
        <w:pStyle w:val="Heading1"/>
      </w:pPr>
      <w:r>
        <w:lastRenderedPageBreak/>
        <w:t>4</w:t>
      </w:r>
      <w:r>
        <w:tab/>
      </w:r>
      <w:r w:rsidRPr="00CE0424">
        <w:t>Discussion</w:t>
      </w:r>
      <w:r>
        <w:t xml:space="preserve"> on sub-carrier spacing</w:t>
      </w:r>
    </w:p>
    <w:p w14:paraId="4B163FF9" w14:textId="77777777" w:rsidR="008A2C71" w:rsidRDefault="008A2C71" w:rsidP="008A2C71">
      <w:pPr>
        <w:pStyle w:val="BodyText"/>
      </w:pPr>
      <w:r w:rsidRPr="00EA0A41">
        <w:t xml:space="preserve">The frequency range of 57 – 71 GHz provides a large amount of spectrum for operations. </w:t>
      </w:r>
      <w:r>
        <w:t>However, o</w:t>
      </w:r>
      <w:r w:rsidRPr="0089600E">
        <w:t xml:space="preserve">peration on bands in </w:t>
      </w:r>
      <w:r>
        <w:t xml:space="preserve">this </w:t>
      </w:r>
      <w:r w:rsidRPr="0089600E">
        <w:t>frequenc</w:t>
      </w:r>
      <w:r>
        <w:t>y range</w:t>
      </w:r>
      <w:r w:rsidRPr="0089600E">
        <w:t xml:space="preserve"> </w:t>
      </w:r>
      <w:r>
        <w:t xml:space="preserve">are </w:t>
      </w:r>
      <w:r w:rsidRPr="0089600E">
        <w:t xml:space="preserve">limited by </w:t>
      </w:r>
      <w:r>
        <w:t>practical</w:t>
      </w:r>
      <w:r w:rsidRPr="0089600E">
        <w:t xml:space="preserve"> </w:t>
      </w:r>
      <w:r>
        <w:t xml:space="preserve">device </w:t>
      </w:r>
      <w:r w:rsidRPr="0089600E">
        <w:t>performance</w:t>
      </w:r>
      <w:r>
        <w:t>. F</w:t>
      </w:r>
      <w:r w:rsidRPr="0089600E">
        <w:t>or example, poor power amplifier (PA) efficiency and larger phase noise impairment, increased front-end insertion loss together with the low noise amplifier (LNA) and analog-to-digital converter (ADC) noise</w:t>
      </w:r>
      <w:r>
        <w:t xml:space="preserve"> present particular challenges</w:t>
      </w:r>
      <w:r w:rsidRPr="0089600E">
        <w:t xml:space="preserve">. </w:t>
      </w:r>
      <w:r>
        <w:t xml:space="preserve">Furthermore, </w:t>
      </w:r>
      <w:r w:rsidRPr="00EA0A41">
        <w:t>to optimize NR operations for different deployment and use cases in this frequency range, the SI and WI should consider and incorporate system designs and parameters that are beneficial for the different use case archetypes</w:t>
      </w:r>
      <w:r>
        <w:t>. In this section, we provide our analysis and initial views on the various important factors that should be considered in the selection of sub-carrier spacings for NR operation in the 52.6 – 71 GHz range.</w:t>
      </w:r>
    </w:p>
    <w:p w14:paraId="2FA115B0" w14:textId="77777777" w:rsidR="008A2C71" w:rsidRDefault="008A2C71" w:rsidP="008A2C71">
      <w:pPr>
        <w:pStyle w:val="Heading2"/>
      </w:pPr>
      <w:r>
        <w:t>4.1</w:t>
      </w:r>
      <w:r>
        <w:tab/>
        <w:t>Addressable system bandwidth</w:t>
      </w:r>
    </w:p>
    <w:p w14:paraId="51C9DFCC" w14:textId="77777777" w:rsidR="008A2C71" w:rsidRPr="00EA0A41" w:rsidRDefault="008A2C71" w:rsidP="008A2C71">
      <w:pPr>
        <w:pStyle w:val="BodyText"/>
      </w:pPr>
      <w:r w:rsidRPr="00EA0A41">
        <w:t>The frequency range of 57 – 71 GHz provides a large amount of spectrum for operations. A system bandwidth of larger than the currently supported 400 MHz can be envisioned. However, to optimize NR operations for different deployment and use cases in this frequency range, the SI and WI should consider and incorporate system designs and parameters that are beneficial for the different use case archetypes.</w:t>
      </w:r>
    </w:p>
    <w:p w14:paraId="489B6D4D" w14:textId="45F0121B" w:rsidR="008A2C71" w:rsidRPr="00EA0A41" w:rsidRDefault="008A2C71" w:rsidP="008A2C71">
      <w:pPr>
        <w:pStyle w:val="BodyText"/>
      </w:pPr>
      <w:r w:rsidRPr="00EA0A41">
        <w:t xml:space="preserve">For indoor mobility use cases, path losses are generally lower because of limited environment sizes. For fixed deployment use cases, regulations generally allow/require </w:t>
      </w:r>
      <w:r>
        <w:t>large</w:t>
      </w:r>
      <w:r w:rsidRPr="00EA0A41">
        <w:t xml:space="preserve"> beamforming gains</w:t>
      </w:r>
      <w:r>
        <w:t>, i.e.,</w:t>
      </w:r>
      <w:r w:rsidRPr="00EA0A41">
        <w:t xml:space="preserve"> </w:t>
      </w:r>
      <w:r>
        <w:t>high</w:t>
      </w:r>
      <w:r w:rsidRPr="00EA0A41">
        <w:t xml:space="preserve"> EIRP. For both deployments and use cases, there can be high enough received powers to benefit from operating a large system bandwidth. As a reference for indoor use cases, the IEEE 802.11ad system operates a carrier bandwidth of 2.16 GHz. Further evolution in the 802.11ay specs introduced support of 4.32 </w:t>
      </w:r>
      <w:r>
        <w:t xml:space="preserve">GHz </w:t>
      </w:r>
      <w:r w:rsidRPr="00EA0A41">
        <w:t xml:space="preserve">carrier bandwidth. However, operating at such large bandwidths limits the useable ranges and user experience severely. It is observed that the </w:t>
      </w:r>
      <w:r>
        <w:t xml:space="preserve">802.11ad </w:t>
      </w:r>
      <w:r w:rsidRPr="00EA0A41">
        <w:t>system can only be operated within the same room and at a distance of no more than 10 m</w:t>
      </w:r>
      <w:r>
        <w:t xml:space="preserve"> </w:t>
      </w:r>
      <w:r>
        <w:fldChar w:fldCharType="begin"/>
      </w:r>
      <w:r>
        <w:instrText xml:space="preserve"> REF _Ref40272835 \r \h </w:instrText>
      </w:r>
      <w:r>
        <w:fldChar w:fldCharType="separate"/>
      </w:r>
      <w:r w:rsidR="005A26D8">
        <w:t>[12]</w:t>
      </w:r>
      <w:r>
        <w:fldChar w:fldCharType="end"/>
      </w:r>
      <w:r>
        <w:fldChar w:fldCharType="begin"/>
      </w:r>
      <w:r>
        <w:instrText xml:space="preserve"> REF _Ref40272838 \r \h </w:instrText>
      </w:r>
      <w:r>
        <w:fldChar w:fldCharType="separate"/>
      </w:r>
      <w:r w:rsidR="005A26D8">
        <w:t>[13]</w:t>
      </w:r>
      <w:r>
        <w:fldChar w:fldCharType="end"/>
      </w:r>
      <w:r>
        <w:fldChar w:fldCharType="begin"/>
      </w:r>
      <w:r>
        <w:instrText xml:space="preserve"> REF _Ref40272840 \r \h </w:instrText>
      </w:r>
      <w:r>
        <w:fldChar w:fldCharType="separate"/>
      </w:r>
      <w:r w:rsidR="005A26D8">
        <w:t>[14]</w:t>
      </w:r>
      <w:r>
        <w:fldChar w:fldCharType="end"/>
      </w:r>
      <w:r w:rsidRPr="00EA0A41">
        <w:t xml:space="preserve">. Judging from the market reactions, there is little evidence </w:t>
      </w:r>
      <w:r>
        <w:t xml:space="preserve">that </w:t>
      </w:r>
      <w:r w:rsidRPr="00EA0A41">
        <w:t>supporting such a large bandwidth</w:t>
      </w:r>
      <w:r>
        <w:t xml:space="preserve"> is beneficial</w:t>
      </w:r>
      <w:r w:rsidRPr="00EA0A41">
        <w:t>.</w:t>
      </w:r>
    </w:p>
    <w:p w14:paraId="0DBCF4CC" w14:textId="25C0D679" w:rsidR="008A2C71" w:rsidRPr="00EA0A41" w:rsidRDefault="008A2C71" w:rsidP="008A2C71">
      <w:pPr>
        <w:pStyle w:val="BodyText"/>
      </w:pPr>
      <w:r w:rsidRPr="00EA0A41">
        <w:t xml:space="preserve">For outdoor mobility use cases, it is beneficial to restrict the transmission bandwidths to obtain adequate received signal to noise ratios for reliable system operations </w:t>
      </w:r>
      <w:r>
        <w:t>for</w:t>
      </w:r>
      <w:r w:rsidRPr="00EA0A41">
        <w:t xml:space="preserve"> </w:t>
      </w:r>
      <w:r>
        <w:t>a</w:t>
      </w:r>
      <w:r w:rsidRPr="00EA0A41">
        <w:t xml:space="preserve"> target </w:t>
      </w:r>
      <w:r>
        <w:t>site</w:t>
      </w:r>
      <w:r w:rsidRPr="00EA0A41">
        <w:t xml:space="preserve"> density. Region I regulation for 57 – 66 GHz stipulates mean EIRP limit of 40 dBm as well as a</w:t>
      </w:r>
      <w:r>
        <w:t xml:space="preserve"> maximum</w:t>
      </w:r>
      <w:r w:rsidRPr="00EA0A41">
        <w:t xml:space="preserve"> power spectral density of 23 dBm/</w:t>
      </w:r>
      <w:proofErr w:type="spellStart"/>
      <w:r w:rsidRPr="00EA0A41">
        <w:t>MHz.</w:t>
      </w:r>
      <w:proofErr w:type="spellEnd"/>
      <w:r w:rsidRPr="00EA0A41">
        <w:t xml:space="preserve"> Hence, a minimum of 50 MHz transmission bandwidth is needed to deploy transmissions at the allowed EIRP limit</w:t>
      </w:r>
      <w:r w:rsidR="00BA4DD6">
        <w:t xml:space="preserve"> and maximum PSD</w:t>
      </w:r>
      <w:r w:rsidRPr="00EA0A41">
        <w:t xml:space="preserve">. North America regulations for 57 – 71 GHz restrict the maximum conducted output power at 27 dBm if the emission bandwidth is at least 100 </w:t>
      </w:r>
      <w:proofErr w:type="spellStart"/>
      <w:r w:rsidRPr="00EA0A41">
        <w:t>MHz.</w:t>
      </w:r>
      <w:proofErr w:type="spellEnd"/>
      <w:r w:rsidRPr="00EA0A41">
        <w:t xml:space="preserve"> The maximum conducted output power is reduced proportionally with the emission bandwidth otherwise. Therefore, coverage can be optimized by a transmission of 100 </w:t>
      </w:r>
      <w:proofErr w:type="spellStart"/>
      <w:r w:rsidRPr="00EA0A41">
        <w:t>MHz.</w:t>
      </w:r>
      <w:proofErr w:type="spellEnd"/>
      <w:r w:rsidRPr="00EA0A41">
        <w:t xml:space="preserve"> </w:t>
      </w:r>
    </w:p>
    <w:p w14:paraId="2507F713" w14:textId="77777777" w:rsidR="008A2C71" w:rsidRPr="00EA0A41" w:rsidRDefault="008A2C71" w:rsidP="008A2C71">
      <w:pPr>
        <w:pStyle w:val="BodyText"/>
      </w:pPr>
      <w:r w:rsidRPr="00EA0A41">
        <w:t>To enable NR operation in the 57 – 71 GHz bands with greater range, mobility and user experience, it is necessary to address the trade-off between peak rate, coverage and robustness carefully in the 3GPP SI and WI. Power amplifier (PA) performance generally degrades with large bandwidths. It is also difficult to realize linearization needed for higher order modulation over large bandwidths. Directivity of multiple antenna transmissions can vary across a wide bandwidth. All these factors limit the efficiency and impact the thermal aspects of the transmitters to achieve the desired EIRP targets. On the receiver side, we observe that noise figure, linearity and other receiver characteristics have significant dependence on the bandwidth. For instance, power consumption of the ADC can grow quadratically with the bandwidth, representing a large drain the mobile batteries.</w:t>
      </w:r>
    </w:p>
    <w:p w14:paraId="3D9E59E3" w14:textId="77777777" w:rsidR="008A2C71" w:rsidRPr="00EA0A41" w:rsidRDefault="008A2C71" w:rsidP="008A2C71">
      <w:pPr>
        <w:pStyle w:val="BodyText"/>
      </w:pPr>
      <w:r>
        <w:t xml:space="preserve">There has been some exploration on the possibility of reducing computational complexity by reducing the size of the FFT. However, this will require pushing the sub-carrier spacing higher to achieve the same addressable system bandwidth, and as we argue later in this paper, this has multiple drawbacks. Furthermore, to maintain the same data rate, multiple FFT operations, though each one small, will have to be performed. For instance, instead of performing one 4096 FFT every duration of </w:t>
      </w:r>
      <m:oMath>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/14</m:t>
        </m:r>
      </m:oMath>
      <w:r>
        <w:t xml:space="preserve"> ms, one 2048 FFT is performed every duration of </w:t>
      </w:r>
      <m:oMath>
        <m:sSup>
          <m:sSupPr>
            <m:ctrlPr>
              <w:rPr>
                <w:rFonts w:ascii="Cambria Math" w:hAnsi="Cambria Math"/>
                <w:i/>
              </w:rPr>
            </m:ctrlPr>
          </m:sSupPr>
          <m:e>
            <m:r>
              <w:rPr>
                <w:rFonts w:ascii="Cambria Math" w:hAnsi="Cambria Math"/>
              </w:rPr>
              <m:t>2</m:t>
            </m:r>
          </m:e>
          <m:sup>
            <m:r>
              <w:rPr>
                <w:rFonts w:ascii="Cambria Math" w:hAnsi="Cambria Math"/>
              </w:rPr>
              <m:t>-(μ+1)</m:t>
            </m:r>
          </m:sup>
        </m:sSup>
        <m:r>
          <w:rPr>
            <w:rFonts w:ascii="Cambria Math" w:hAnsi="Cambria Math"/>
          </w:rPr>
          <m:t>/14</m:t>
        </m:r>
      </m:oMath>
      <w:r>
        <w:t xml:space="preserve"> ms. That is, two 2048 FFT operations will need to be performed over the same duration as one 4096 FFT operation with a lower sub-carrier spacing. Any complexity savings in practical implementation could be negligible.</w:t>
      </w:r>
    </w:p>
    <w:p w14:paraId="7EEB25F7" w14:textId="6BF319FB" w:rsidR="008A2C71" w:rsidRDefault="008A2C71" w:rsidP="008A2C71">
      <w:pPr>
        <w:pStyle w:val="BodyText"/>
      </w:pPr>
      <w:r w:rsidRPr="00EA0A41">
        <w:t xml:space="preserve">In summary, NR operations in the frequency range of 57 – 71 GHz should enable a range of system bandwidths suitable for reliable and robust mobile use case in indoor as well as outdoor environments. Using the same 4096 FFT size as Rel-15 NR, the addressable transmission bandwidths for different sub-carrier spacings (SCS) are tabulated in </w:t>
      </w:r>
      <w:r>
        <w:fldChar w:fldCharType="begin"/>
      </w:r>
      <w:r w:rsidRPr="00EA0A41">
        <w:instrText xml:space="preserve"> REF _Ref39149567 \h </w:instrText>
      </w:r>
      <w:r>
        <w:fldChar w:fldCharType="separate"/>
      </w:r>
      <w:r w:rsidR="005A26D8">
        <w:t>Figure</w:t>
      </w:r>
      <w:r w:rsidR="005A26D8" w:rsidRPr="00731273">
        <w:t xml:space="preserve"> </w:t>
      </w:r>
      <w:r w:rsidR="005A26D8">
        <w:rPr>
          <w:noProof/>
        </w:rPr>
        <w:t>1</w:t>
      </w:r>
      <w:r>
        <w:fldChar w:fldCharType="end"/>
      </w:r>
      <w:r w:rsidRPr="00EA0A41">
        <w:t>. Based on the above discussion, we suggest considering sub-carrier spacings no larger than 960 kHz from the addressable system bandwidth point of view.</w:t>
      </w:r>
      <w:r>
        <w:t xml:space="preserve"> </w:t>
      </w:r>
    </w:p>
    <w:p w14:paraId="1E1C6008" w14:textId="2464B536" w:rsidR="008A2C71" w:rsidRDefault="008A2C71" w:rsidP="008A2C71">
      <w:pPr>
        <w:pStyle w:val="BodyText"/>
      </w:pPr>
      <w:r>
        <w:lastRenderedPageBreak/>
        <w:t xml:space="preserve">If the target maximum channel BW is set to 1.6 GHz, SCS of 480 kHz can be considered. Since Rel-15 specs was written with a maximum SCS of </w:t>
      </w:r>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=480</m:t>
        </m:r>
      </m:oMath>
      <w:r>
        <w:t xml:space="preserve"> kHz, extensive revision of the specs can be avoided by using SCSs up to 480 kHz. If the maximum channel BW is targeted at 2 GHz </w:t>
      </w:r>
      <w:r w:rsidR="006864EA">
        <w:t xml:space="preserve">to </w:t>
      </w:r>
      <w:r>
        <w:t>3.2 GHz, then SCS of 960 kHz will suffice given the drawbacks of using even larger SCSs discussed in the sections below.</w:t>
      </w:r>
    </w:p>
    <w:p w14:paraId="419CCA94" w14:textId="4FA40DB2" w:rsidR="008A2C71" w:rsidRPr="004370BD" w:rsidRDefault="008A2C71" w:rsidP="008A2C71">
      <w:pPr>
        <w:pStyle w:val="TF"/>
        <w:keepNext/>
        <w:spacing w:before="120" w:after="120"/>
        <w:rPr>
          <w:lang w:val="en-US"/>
        </w:rPr>
      </w:pPr>
      <w:bookmarkStart w:id="2" w:name="_Ref39149567"/>
      <w:r>
        <w:rPr>
          <w:lang w:val="en-US"/>
        </w:rPr>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5A26D8">
        <w:rPr>
          <w:noProof/>
          <w:lang w:val="en-US"/>
        </w:rPr>
        <w:t>1</w:t>
      </w:r>
      <w:r w:rsidRPr="00731273">
        <w:rPr>
          <w:lang w:val="en-US"/>
        </w:rPr>
        <w:fldChar w:fldCharType="end"/>
      </w:r>
      <w:bookmarkEnd w:id="2"/>
      <w:r w:rsidRPr="00731273">
        <w:rPr>
          <w:lang w:val="en-US"/>
        </w:rPr>
        <w:t>:</w:t>
      </w:r>
      <w:r>
        <w:rPr>
          <w:lang w:val="en-US"/>
        </w:rPr>
        <w:t xml:space="preserve"> Maximum addressable system bandwidth assuming FFT size 4096</w:t>
      </w:r>
    </w:p>
    <w:tbl>
      <w:tblPr>
        <w:tblStyle w:val="TableGrid"/>
        <w:tblW w:w="0" w:type="auto"/>
        <w:tblLook w:val="04A0" w:firstRow="1" w:lastRow="0" w:firstColumn="1" w:lastColumn="0" w:noHBand="0" w:noVBand="1"/>
      </w:tblPr>
      <w:tblGrid>
        <w:gridCol w:w="2605"/>
        <w:gridCol w:w="1170"/>
        <w:gridCol w:w="1171"/>
        <w:gridCol w:w="1171"/>
        <w:gridCol w:w="1170"/>
        <w:gridCol w:w="1171"/>
        <w:gridCol w:w="1171"/>
      </w:tblGrid>
      <w:tr w:rsidR="008A2C71" w:rsidRPr="003D63C4" w14:paraId="26B6CCF1" w14:textId="77777777" w:rsidTr="00AC1B06">
        <w:tc>
          <w:tcPr>
            <w:tcW w:w="2605" w:type="dxa"/>
            <w:vAlign w:val="center"/>
          </w:tcPr>
          <w:p w14:paraId="37146808" w14:textId="77777777" w:rsidR="008A2C71" w:rsidRPr="003D63C4" w:rsidRDefault="008A2C71" w:rsidP="00AC1B06">
            <w:pPr>
              <w:pStyle w:val="BodyText"/>
              <w:spacing w:before="40" w:after="40"/>
              <w:jc w:val="center"/>
              <w:rPr>
                <w:rFonts w:cs="Arial"/>
              </w:rPr>
            </w:pPr>
            <w:r w:rsidRPr="003D63C4">
              <w:rPr>
                <w:rFonts w:cs="Arial"/>
                <w:color w:val="000000" w:themeColor="text1"/>
                <w:kern w:val="24"/>
              </w:rPr>
              <w:t>SCS [kHz]</w:t>
            </w:r>
          </w:p>
        </w:tc>
        <w:tc>
          <w:tcPr>
            <w:tcW w:w="1170" w:type="dxa"/>
            <w:vAlign w:val="center"/>
          </w:tcPr>
          <w:p w14:paraId="24E7D3B3" w14:textId="77777777" w:rsidR="008A2C71" w:rsidRPr="003D63C4" w:rsidRDefault="008A2C71" w:rsidP="00AC1B06">
            <w:pPr>
              <w:pStyle w:val="BodyText"/>
              <w:spacing w:before="40" w:after="40"/>
              <w:jc w:val="center"/>
              <w:rPr>
                <w:rFonts w:cs="Arial"/>
              </w:rPr>
            </w:pPr>
            <w:r w:rsidRPr="003D63C4">
              <w:rPr>
                <w:rFonts w:cs="Arial"/>
                <w:color w:val="000000" w:themeColor="text1"/>
                <w:kern w:val="24"/>
              </w:rPr>
              <w:t>120</w:t>
            </w:r>
          </w:p>
        </w:tc>
        <w:tc>
          <w:tcPr>
            <w:tcW w:w="1171" w:type="dxa"/>
            <w:vAlign w:val="center"/>
          </w:tcPr>
          <w:p w14:paraId="6CB136DE" w14:textId="77777777" w:rsidR="008A2C71" w:rsidRPr="003D63C4" w:rsidRDefault="008A2C71" w:rsidP="00AC1B06">
            <w:pPr>
              <w:pStyle w:val="BodyText"/>
              <w:spacing w:before="40" w:after="40"/>
              <w:jc w:val="center"/>
              <w:rPr>
                <w:rFonts w:cs="Arial"/>
              </w:rPr>
            </w:pPr>
            <w:r w:rsidRPr="003D63C4">
              <w:rPr>
                <w:rFonts w:cs="Arial"/>
                <w:color w:val="000000" w:themeColor="text1"/>
                <w:kern w:val="24"/>
              </w:rPr>
              <w:t>240</w:t>
            </w:r>
          </w:p>
        </w:tc>
        <w:tc>
          <w:tcPr>
            <w:tcW w:w="1171" w:type="dxa"/>
            <w:vAlign w:val="center"/>
          </w:tcPr>
          <w:p w14:paraId="6592CF5E" w14:textId="77777777" w:rsidR="008A2C71" w:rsidRPr="003D63C4" w:rsidRDefault="008A2C71" w:rsidP="00AC1B06">
            <w:pPr>
              <w:pStyle w:val="BodyText"/>
              <w:spacing w:before="40" w:after="40"/>
              <w:jc w:val="center"/>
              <w:rPr>
                <w:rFonts w:cs="Arial"/>
              </w:rPr>
            </w:pPr>
            <w:r w:rsidRPr="003D63C4">
              <w:rPr>
                <w:rFonts w:cs="Arial"/>
                <w:color w:val="000000" w:themeColor="text1"/>
                <w:kern w:val="24"/>
              </w:rPr>
              <w:t>480</w:t>
            </w:r>
          </w:p>
        </w:tc>
        <w:tc>
          <w:tcPr>
            <w:tcW w:w="1170" w:type="dxa"/>
            <w:vAlign w:val="center"/>
          </w:tcPr>
          <w:p w14:paraId="4C2A3891" w14:textId="77777777" w:rsidR="008A2C71" w:rsidRPr="003D63C4" w:rsidRDefault="008A2C71" w:rsidP="00AC1B06">
            <w:pPr>
              <w:pStyle w:val="BodyText"/>
              <w:spacing w:before="40" w:after="40"/>
              <w:jc w:val="center"/>
              <w:rPr>
                <w:rFonts w:cs="Arial"/>
              </w:rPr>
            </w:pPr>
            <w:r w:rsidRPr="003D63C4">
              <w:rPr>
                <w:rFonts w:cs="Arial"/>
                <w:color w:val="000000" w:themeColor="text1"/>
                <w:kern w:val="24"/>
              </w:rPr>
              <w:t>960</w:t>
            </w:r>
          </w:p>
        </w:tc>
        <w:tc>
          <w:tcPr>
            <w:tcW w:w="1171" w:type="dxa"/>
            <w:vAlign w:val="center"/>
          </w:tcPr>
          <w:p w14:paraId="0AC8F057" w14:textId="77777777" w:rsidR="008A2C71" w:rsidRPr="003D63C4" w:rsidRDefault="008A2C71" w:rsidP="00AC1B06">
            <w:pPr>
              <w:pStyle w:val="BodyText"/>
              <w:spacing w:before="40" w:after="40"/>
              <w:jc w:val="center"/>
              <w:rPr>
                <w:rFonts w:cs="Arial"/>
              </w:rPr>
            </w:pPr>
            <w:r w:rsidRPr="003D63C4">
              <w:rPr>
                <w:rFonts w:cs="Arial"/>
                <w:color w:val="000000" w:themeColor="text1"/>
                <w:kern w:val="24"/>
              </w:rPr>
              <w:t>1920</w:t>
            </w:r>
          </w:p>
        </w:tc>
        <w:tc>
          <w:tcPr>
            <w:tcW w:w="1171" w:type="dxa"/>
            <w:vAlign w:val="center"/>
          </w:tcPr>
          <w:p w14:paraId="59B8EF07" w14:textId="77777777" w:rsidR="008A2C71" w:rsidRPr="003D63C4" w:rsidRDefault="008A2C71" w:rsidP="00AC1B06">
            <w:pPr>
              <w:pStyle w:val="BodyText"/>
              <w:spacing w:before="40" w:after="40"/>
              <w:jc w:val="center"/>
              <w:rPr>
                <w:rFonts w:cs="Arial"/>
              </w:rPr>
            </w:pPr>
            <w:r w:rsidRPr="003D63C4">
              <w:rPr>
                <w:rFonts w:cs="Arial"/>
                <w:color w:val="000000" w:themeColor="text1"/>
                <w:kern w:val="24"/>
              </w:rPr>
              <w:t>3840</w:t>
            </w:r>
          </w:p>
        </w:tc>
      </w:tr>
      <w:tr w:rsidR="008A2C71" w:rsidRPr="003D63C4" w14:paraId="1B28544B" w14:textId="77777777" w:rsidTr="00AC1B06">
        <w:tc>
          <w:tcPr>
            <w:tcW w:w="2605" w:type="dxa"/>
            <w:vAlign w:val="center"/>
          </w:tcPr>
          <w:p w14:paraId="4DE0F485" w14:textId="77777777" w:rsidR="008A2C71" w:rsidRPr="003D63C4" w:rsidRDefault="008A2C71" w:rsidP="00AC1B06">
            <w:pPr>
              <w:pStyle w:val="BodyText"/>
              <w:spacing w:before="40" w:after="40"/>
              <w:jc w:val="center"/>
              <w:rPr>
                <w:rFonts w:cs="Arial"/>
              </w:rPr>
            </w:pPr>
            <w:r w:rsidRPr="003D63C4">
              <w:rPr>
                <w:rFonts w:cs="Arial"/>
                <w:color w:val="000000" w:themeColor="text1"/>
                <w:kern w:val="24"/>
              </w:rPr>
              <w:t>275 PRBs allocation [GHz]</w:t>
            </w:r>
          </w:p>
        </w:tc>
        <w:tc>
          <w:tcPr>
            <w:tcW w:w="1170" w:type="dxa"/>
            <w:vAlign w:val="center"/>
          </w:tcPr>
          <w:p w14:paraId="4A116A48" w14:textId="77777777" w:rsidR="008A2C71" w:rsidRPr="003D63C4" w:rsidRDefault="008A2C71" w:rsidP="00AC1B06">
            <w:pPr>
              <w:pStyle w:val="BodyText"/>
              <w:spacing w:before="40" w:after="40"/>
              <w:jc w:val="center"/>
              <w:rPr>
                <w:rFonts w:cs="Arial"/>
              </w:rPr>
            </w:pPr>
            <w:r w:rsidRPr="003D63C4">
              <w:rPr>
                <w:rFonts w:eastAsiaTheme="minorEastAsia" w:cs="Arial"/>
                <w:color w:val="000000" w:themeColor="text1"/>
                <w:kern w:val="24"/>
              </w:rPr>
              <w:t>0.40</w:t>
            </w:r>
          </w:p>
        </w:tc>
        <w:tc>
          <w:tcPr>
            <w:tcW w:w="1171" w:type="dxa"/>
            <w:vAlign w:val="center"/>
          </w:tcPr>
          <w:p w14:paraId="19272F70" w14:textId="77777777" w:rsidR="008A2C71" w:rsidRPr="003D63C4" w:rsidRDefault="008A2C71" w:rsidP="00AC1B06">
            <w:pPr>
              <w:pStyle w:val="BodyText"/>
              <w:spacing w:before="40" w:after="40"/>
              <w:jc w:val="center"/>
              <w:rPr>
                <w:rFonts w:cs="Arial"/>
              </w:rPr>
            </w:pPr>
            <w:r w:rsidRPr="003D63C4">
              <w:rPr>
                <w:rFonts w:eastAsiaTheme="minorEastAsia" w:cs="Arial"/>
                <w:color w:val="000000" w:themeColor="text1"/>
                <w:kern w:val="24"/>
              </w:rPr>
              <w:t>0.79</w:t>
            </w:r>
          </w:p>
        </w:tc>
        <w:tc>
          <w:tcPr>
            <w:tcW w:w="1171" w:type="dxa"/>
            <w:vAlign w:val="center"/>
          </w:tcPr>
          <w:p w14:paraId="0F53A904" w14:textId="77777777" w:rsidR="008A2C71" w:rsidRPr="003D63C4" w:rsidRDefault="008A2C71" w:rsidP="00AC1B06">
            <w:pPr>
              <w:pStyle w:val="BodyText"/>
              <w:spacing w:before="40" w:after="40"/>
              <w:jc w:val="center"/>
              <w:rPr>
                <w:rFonts w:cs="Arial"/>
              </w:rPr>
            </w:pPr>
            <w:r w:rsidRPr="003D63C4">
              <w:rPr>
                <w:rFonts w:eastAsiaTheme="minorEastAsia" w:cs="Arial"/>
                <w:color w:val="000000" w:themeColor="text1"/>
                <w:kern w:val="24"/>
              </w:rPr>
              <w:t>1.58</w:t>
            </w:r>
          </w:p>
        </w:tc>
        <w:tc>
          <w:tcPr>
            <w:tcW w:w="1170" w:type="dxa"/>
            <w:vAlign w:val="center"/>
          </w:tcPr>
          <w:p w14:paraId="1787C351" w14:textId="77777777" w:rsidR="008A2C71" w:rsidRPr="003D63C4" w:rsidRDefault="008A2C71" w:rsidP="00AC1B06">
            <w:pPr>
              <w:pStyle w:val="BodyText"/>
              <w:spacing w:before="40" w:after="40"/>
              <w:jc w:val="center"/>
              <w:rPr>
                <w:rFonts w:cs="Arial"/>
              </w:rPr>
            </w:pPr>
            <w:r w:rsidRPr="003D63C4">
              <w:rPr>
                <w:rFonts w:eastAsiaTheme="minorEastAsia" w:cs="Arial"/>
                <w:color w:val="000000" w:themeColor="text1"/>
                <w:kern w:val="24"/>
              </w:rPr>
              <w:t>3.17</w:t>
            </w:r>
          </w:p>
        </w:tc>
        <w:tc>
          <w:tcPr>
            <w:tcW w:w="1171" w:type="dxa"/>
            <w:vAlign w:val="center"/>
          </w:tcPr>
          <w:p w14:paraId="4E5CAB21" w14:textId="77777777" w:rsidR="008A2C71" w:rsidRPr="003D63C4" w:rsidRDefault="008A2C71" w:rsidP="00AC1B06">
            <w:pPr>
              <w:pStyle w:val="BodyText"/>
              <w:spacing w:before="40" w:after="40"/>
              <w:jc w:val="center"/>
              <w:rPr>
                <w:rFonts w:cs="Arial"/>
              </w:rPr>
            </w:pPr>
            <w:r w:rsidRPr="003D63C4">
              <w:rPr>
                <w:rFonts w:eastAsiaTheme="minorEastAsia" w:cs="Arial"/>
                <w:color w:val="000000" w:themeColor="text1"/>
                <w:kern w:val="24"/>
              </w:rPr>
              <w:t>6.34</w:t>
            </w:r>
          </w:p>
        </w:tc>
        <w:tc>
          <w:tcPr>
            <w:tcW w:w="1171" w:type="dxa"/>
            <w:vAlign w:val="center"/>
          </w:tcPr>
          <w:p w14:paraId="541DED60" w14:textId="77777777" w:rsidR="008A2C71" w:rsidRPr="003D63C4" w:rsidRDefault="008A2C71" w:rsidP="00AC1B06">
            <w:pPr>
              <w:pStyle w:val="BodyText"/>
              <w:spacing w:before="40" w:after="40"/>
              <w:jc w:val="center"/>
              <w:rPr>
                <w:rFonts w:cs="Arial"/>
              </w:rPr>
            </w:pPr>
            <w:r w:rsidRPr="003D63C4">
              <w:rPr>
                <w:rFonts w:eastAsiaTheme="minorEastAsia" w:cs="Arial"/>
                <w:color w:val="000000" w:themeColor="text1"/>
                <w:kern w:val="24"/>
              </w:rPr>
              <w:t>12.67</w:t>
            </w:r>
          </w:p>
        </w:tc>
      </w:tr>
    </w:tbl>
    <w:p w14:paraId="7536819B" w14:textId="77777777" w:rsidR="008A2C71" w:rsidRDefault="008A2C71" w:rsidP="008A2C71">
      <w:pPr>
        <w:pStyle w:val="BodyText"/>
      </w:pPr>
    </w:p>
    <w:p w14:paraId="5C18EC78" w14:textId="77777777" w:rsidR="008A2C71" w:rsidRDefault="008A2C71" w:rsidP="008A2C71">
      <w:pPr>
        <w:pStyle w:val="Heading2"/>
      </w:pPr>
      <w:r>
        <w:t>4.2</w:t>
      </w:r>
      <w:r>
        <w:tab/>
        <w:t>Cyclic prefix lengths and applicable operation environment sizes</w:t>
      </w:r>
    </w:p>
    <w:p w14:paraId="4334ADD5" w14:textId="22C4663B" w:rsidR="008A2C71" w:rsidRDefault="008A2C71" w:rsidP="008A2C71">
      <w:pPr>
        <w:pStyle w:val="BodyText"/>
      </w:pPr>
      <w:r>
        <w:t xml:space="preserve">With a larger sub-carrier spacing, the OFDM symbol duration and the associated cyclic prefix (CP) duration become shorter. As shown in </w:t>
      </w:r>
      <w:r>
        <w:fldChar w:fldCharType="begin"/>
      </w:r>
      <w:r>
        <w:instrText xml:space="preserve"> REF _Ref39485433 \h </w:instrText>
      </w:r>
      <w:r>
        <w:fldChar w:fldCharType="separate"/>
      </w:r>
      <w:r w:rsidR="005A26D8">
        <w:t>Figure</w:t>
      </w:r>
      <w:r w:rsidR="005A26D8" w:rsidRPr="00CE0424">
        <w:t xml:space="preserve"> </w:t>
      </w:r>
      <w:r w:rsidR="005A26D8">
        <w:rPr>
          <w:noProof/>
        </w:rPr>
        <w:t>2</w:t>
      </w:r>
      <w:r>
        <w:fldChar w:fldCharType="end"/>
      </w:r>
      <w:r>
        <w:t xml:space="preserve">, the normal CP lengths are reduced from 586 ns for 120 kHz SCS to 73 ns or shorter for 960 kHz or higher SCS. Such short CP lengths present serious link performance and hence operation environment size limitation to the NR operation in the 52.6 – 71 GHz frequency range. Note that, in addition to the inter-symbol interference issues discussed below, short CP lengths can pose serious challenges to align UE UL transmission timings and cause inter-user interferences. </w:t>
      </w:r>
    </w:p>
    <w:p w14:paraId="56FD8FFB" w14:textId="253FEDFE" w:rsidR="008A2C71" w:rsidRPr="004370BD" w:rsidRDefault="008A2C71" w:rsidP="008A2C71">
      <w:pPr>
        <w:pStyle w:val="TF"/>
        <w:keepNext/>
        <w:spacing w:before="120" w:after="120"/>
        <w:rPr>
          <w:lang w:val="en-US"/>
        </w:rPr>
      </w:pPr>
      <w:bookmarkStart w:id="3" w:name="_Ref39485433"/>
      <w:r>
        <w:rPr>
          <w:lang w:val="en-US"/>
        </w:rPr>
        <w:t>Figure</w:t>
      </w:r>
      <w:r w:rsidRPr="00CE0424">
        <w:t xml:space="preserve"> </w:t>
      </w:r>
      <w:r>
        <w:fldChar w:fldCharType="begin"/>
      </w:r>
      <w:r>
        <w:instrText xml:space="preserve"> SEQ Figure \* ARABIC </w:instrText>
      </w:r>
      <w:r>
        <w:fldChar w:fldCharType="separate"/>
      </w:r>
      <w:r w:rsidR="005A26D8">
        <w:rPr>
          <w:noProof/>
        </w:rPr>
        <w:t>2</w:t>
      </w:r>
      <w:r>
        <w:rPr>
          <w:noProof/>
        </w:rPr>
        <w:fldChar w:fldCharType="end"/>
      </w:r>
      <w:bookmarkEnd w:id="3"/>
      <w:r w:rsidRPr="00CE0424">
        <w:t>:</w:t>
      </w:r>
      <w:r>
        <w:rPr>
          <w:lang w:val="en-US"/>
        </w:rPr>
        <w:t xml:space="preserve"> Normal CP durations for difference </w:t>
      </w:r>
      <w:r>
        <w:t>sub-carrier spacing</w:t>
      </w:r>
      <w:r>
        <w:rPr>
          <w:lang w:val="en-US"/>
        </w:rPr>
        <w:t>s</w:t>
      </w:r>
    </w:p>
    <w:tbl>
      <w:tblPr>
        <w:tblStyle w:val="TableGrid"/>
        <w:tblW w:w="0" w:type="auto"/>
        <w:tblLook w:val="04A0" w:firstRow="1" w:lastRow="0" w:firstColumn="1" w:lastColumn="0" w:noHBand="0" w:noVBand="1"/>
      </w:tblPr>
      <w:tblGrid>
        <w:gridCol w:w="2158"/>
        <w:gridCol w:w="1062"/>
        <w:gridCol w:w="1063"/>
        <w:gridCol w:w="1063"/>
        <w:gridCol w:w="1030"/>
        <w:gridCol w:w="1035"/>
        <w:gridCol w:w="1035"/>
        <w:gridCol w:w="1183"/>
      </w:tblGrid>
      <w:tr w:rsidR="008A2C71" w:rsidRPr="003D63C4" w14:paraId="0F2C13B2" w14:textId="77777777" w:rsidTr="00AC1B06">
        <w:tc>
          <w:tcPr>
            <w:tcW w:w="2158" w:type="dxa"/>
            <w:vAlign w:val="bottom"/>
          </w:tcPr>
          <w:p w14:paraId="58897496"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SCS [kHz]</w:t>
            </w:r>
          </w:p>
        </w:tc>
        <w:tc>
          <w:tcPr>
            <w:tcW w:w="1062" w:type="dxa"/>
            <w:vAlign w:val="bottom"/>
          </w:tcPr>
          <w:p w14:paraId="2C4A879E"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120</w:t>
            </w:r>
          </w:p>
        </w:tc>
        <w:tc>
          <w:tcPr>
            <w:tcW w:w="1063" w:type="dxa"/>
            <w:vAlign w:val="bottom"/>
          </w:tcPr>
          <w:p w14:paraId="42418C2B"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240</w:t>
            </w:r>
          </w:p>
        </w:tc>
        <w:tc>
          <w:tcPr>
            <w:tcW w:w="1063" w:type="dxa"/>
            <w:vAlign w:val="bottom"/>
          </w:tcPr>
          <w:p w14:paraId="67AB2A4E"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480</w:t>
            </w:r>
          </w:p>
        </w:tc>
        <w:tc>
          <w:tcPr>
            <w:tcW w:w="1030" w:type="dxa"/>
            <w:vAlign w:val="bottom"/>
          </w:tcPr>
          <w:p w14:paraId="2C82E6A0"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960</w:t>
            </w:r>
          </w:p>
        </w:tc>
        <w:tc>
          <w:tcPr>
            <w:tcW w:w="1035" w:type="dxa"/>
            <w:vAlign w:val="bottom"/>
          </w:tcPr>
          <w:p w14:paraId="34D65E5E"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1920</w:t>
            </w:r>
          </w:p>
        </w:tc>
        <w:tc>
          <w:tcPr>
            <w:tcW w:w="1035" w:type="dxa"/>
            <w:vAlign w:val="bottom"/>
          </w:tcPr>
          <w:p w14:paraId="1EEF189D"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3840</w:t>
            </w:r>
          </w:p>
        </w:tc>
        <w:tc>
          <w:tcPr>
            <w:tcW w:w="1183" w:type="dxa"/>
          </w:tcPr>
          <w:p w14:paraId="558FF80E" w14:textId="77777777" w:rsidR="008A2C71" w:rsidRPr="00552480" w:rsidRDefault="008A2C71" w:rsidP="00AC1B06">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Overhead</w:t>
            </w:r>
          </w:p>
        </w:tc>
      </w:tr>
      <w:tr w:rsidR="008A2C71" w:rsidRPr="003D63C4" w14:paraId="462C82F8" w14:textId="77777777" w:rsidTr="00AC1B06">
        <w:tc>
          <w:tcPr>
            <w:tcW w:w="2158" w:type="dxa"/>
            <w:vAlign w:val="bottom"/>
          </w:tcPr>
          <w:p w14:paraId="28FC48A4" w14:textId="77777777" w:rsidR="008A2C71" w:rsidRPr="00552480" w:rsidRDefault="008A2C71" w:rsidP="00AC1B06">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 xml:space="preserve">NCP </w:t>
            </w:r>
            <w:r w:rsidRPr="00552480">
              <w:rPr>
                <w:rFonts w:eastAsiaTheme="minorEastAsia" w:cs="Arial"/>
                <w:color w:val="000000" w:themeColor="text1"/>
                <w:kern w:val="24"/>
              </w:rPr>
              <w:t>duration [</w:t>
            </w:r>
            <w:r>
              <w:rPr>
                <w:rFonts w:eastAsiaTheme="minorEastAsia" w:cs="Arial"/>
                <w:color w:val="000000" w:themeColor="text1"/>
                <w:kern w:val="24"/>
              </w:rPr>
              <w:t>n</w:t>
            </w:r>
            <w:r w:rsidRPr="00552480">
              <w:rPr>
                <w:rFonts w:eastAsiaTheme="minorEastAsia" w:cs="Arial"/>
                <w:color w:val="000000" w:themeColor="text1"/>
                <w:kern w:val="24"/>
              </w:rPr>
              <w:t>s]</w:t>
            </w:r>
          </w:p>
        </w:tc>
        <w:tc>
          <w:tcPr>
            <w:tcW w:w="1062" w:type="dxa"/>
          </w:tcPr>
          <w:p w14:paraId="717B7F29" w14:textId="77777777" w:rsidR="008A2C71" w:rsidRPr="00552480" w:rsidRDefault="008A2C71" w:rsidP="00AC1B06">
            <w:pPr>
              <w:pStyle w:val="BodyText"/>
              <w:spacing w:before="40" w:after="40"/>
              <w:jc w:val="center"/>
              <w:rPr>
                <w:rFonts w:eastAsiaTheme="minorEastAsia" w:cs="Arial"/>
                <w:color w:val="000000" w:themeColor="text1"/>
                <w:kern w:val="24"/>
              </w:rPr>
            </w:pPr>
            <w:r w:rsidRPr="00EC386E">
              <w:t>585.9</w:t>
            </w:r>
          </w:p>
        </w:tc>
        <w:tc>
          <w:tcPr>
            <w:tcW w:w="1063" w:type="dxa"/>
          </w:tcPr>
          <w:p w14:paraId="29CA41F4" w14:textId="77777777" w:rsidR="008A2C71" w:rsidRPr="00552480" w:rsidRDefault="008A2C71" w:rsidP="00AC1B06">
            <w:pPr>
              <w:pStyle w:val="BodyText"/>
              <w:spacing w:before="40" w:after="40"/>
              <w:jc w:val="center"/>
              <w:rPr>
                <w:rFonts w:eastAsiaTheme="minorEastAsia" w:cs="Arial"/>
                <w:color w:val="000000" w:themeColor="text1"/>
                <w:kern w:val="24"/>
              </w:rPr>
            </w:pPr>
            <w:r w:rsidRPr="00EC386E">
              <w:t>293.0</w:t>
            </w:r>
          </w:p>
        </w:tc>
        <w:tc>
          <w:tcPr>
            <w:tcW w:w="1063" w:type="dxa"/>
          </w:tcPr>
          <w:p w14:paraId="4F51036F" w14:textId="77777777" w:rsidR="008A2C71" w:rsidRPr="00552480" w:rsidRDefault="008A2C71" w:rsidP="00AC1B06">
            <w:pPr>
              <w:pStyle w:val="BodyText"/>
              <w:spacing w:before="40" w:after="40"/>
              <w:jc w:val="center"/>
              <w:rPr>
                <w:rFonts w:eastAsiaTheme="minorEastAsia" w:cs="Arial"/>
                <w:color w:val="000000" w:themeColor="text1"/>
                <w:kern w:val="24"/>
              </w:rPr>
            </w:pPr>
            <w:r w:rsidRPr="00EC386E">
              <w:t>146.5</w:t>
            </w:r>
          </w:p>
        </w:tc>
        <w:tc>
          <w:tcPr>
            <w:tcW w:w="1030" w:type="dxa"/>
          </w:tcPr>
          <w:p w14:paraId="71FD9256" w14:textId="77777777" w:rsidR="008A2C71" w:rsidRPr="00552480" w:rsidRDefault="008A2C71" w:rsidP="00AC1B06">
            <w:pPr>
              <w:pStyle w:val="BodyText"/>
              <w:spacing w:before="40" w:after="40"/>
              <w:jc w:val="center"/>
              <w:rPr>
                <w:rFonts w:eastAsiaTheme="minorEastAsia" w:cs="Arial"/>
                <w:color w:val="000000" w:themeColor="text1"/>
                <w:kern w:val="24"/>
              </w:rPr>
            </w:pPr>
            <w:r w:rsidRPr="00EC386E">
              <w:t>73.2</w:t>
            </w:r>
          </w:p>
        </w:tc>
        <w:tc>
          <w:tcPr>
            <w:tcW w:w="1035" w:type="dxa"/>
          </w:tcPr>
          <w:p w14:paraId="27E3E55B" w14:textId="77777777" w:rsidR="008A2C71" w:rsidRPr="00552480" w:rsidRDefault="008A2C71" w:rsidP="00AC1B06">
            <w:pPr>
              <w:pStyle w:val="BodyText"/>
              <w:spacing w:before="40" w:after="40"/>
              <w:jc w:val="center"/>
              <w:rPr>
                <w:rFonts w:eastAsiaTheme="minorEastAsia" w:cs="Arial"/>
                <w:color w:val="000000" w:themeColor="text1"/>
                <w:kern w:val="24"/>
              </w:rPr>
            </w:pPr>
            <w:r w:rsidRPr="00EC386E">
              <w:t>36.6</w:t>
            </w:r>
          </w:p>
        </w:tc>
        <w:tc>
          <w:tcPr>
            <w:tcW w:w="1035" w:type="dxa"/>
          </w:tcPr>
          <w:p w14:paraId="6CE28E20" w14:textId="77777777" w:rsidR="008A2C71" w:rsidRPr="00552480" w:rsidRDefault="008A2C71" w:rsidP="00AC1B06">
            <w:pPr>
              <w:pStyle w:val="BodyText"/>
              <w:spacing w:before="40" w:after="40"/>
              <w:jc w:val="center"/>
              <w:rPr>
                <w:rFonts w:eastAsiaTheme="minorEastAsia" w:cs="Arial"/>
                <w:color w:val="000000" w:themeColor="text1"/>
                <w:kern w:val="24"/>
              </w:rPr>
            </w:pPr>
            <w:r w:rsidRPr="00931B68">
              <w:t>18.</w:t>
            </w:r>
            <w:r w:rsidRPr="00EC386E">
              <w:t>3</w:t>
            </w:r>
          </w:p>
        </w:tc>
        <w:tc>
          <w:tcPr>
            <w:tcW w:w="1183" w:type="dxa"/>
          </w:tcPr>
          <w:p w14:paraId="4A73590F" w14:textId="77777777" w:rsidR="008A2C71" w:rsidRPr="00931B68" w:rsidRDefault="008A2C71" w:rsidP="00AC1B06">
            <w:pPr>
              <w:pStyle w:val="BodyText"/>
              <w:spacing w:before="40" w:after="40"/>
              <w:jc w:val="center"/>
            </w:pPr>
            <w:r>
              <w:t>6.7%</w:t>
            </w:r>
          </w:p>
        </w:tc>
      </w:tr>
    </w:tbl>
    <w:p w14:paraId="34A93ADD" w14:textId="77777777" w:rsidR="008A2C71" w:rsidRDefault="008A2C71" w:rsidP="008A2C71">
      <w:pPr>
        <w:pStyle w:val="BodyText"/>
      </w:pPr>
    </w:p>
    <w:p w14:paraId="5B43F0CC" w14:textId="1AC69F19" w:rsidR="008A2C71" w:rsidRDefault="008A2C71" w:rsidP="008A2C71">
      <w:pPr>
        <w:pStyle w:val="BodyText"/>
      </w:pPr>
      <w:r w:rsidRPr="00EA0A41">
        <w:t xml:space="preserve">To assess the </w:t>
      </w:r>
      <w:r>
        <w:t xml:space="preserve">link performance </w:t>
      </w:r>
      <w:r w:rsidRPr="00EA0A41">
        <w:t>impacts of short CPs quantitatively, we performed extensive evaluation</w:t>
      </w:r>
      <w:r>
        <w:t>s</w:t>
      </w:r>
      <w:r w:rsidRPr="00EA0A41">
        <w:t xml:space="preserve"> on the range of channel realizations using </w:t>
      </w:r>
      <w:r>
        <w:t xml:space="preserve">the </w:t>
      </w:r>
      <w:r w:rsidRPr="00EA0A41">
        <w:t xml:space="preserve">3GPP indoor and urban micro channel models in </w:t>
      </w:r>
      <w:r>
        <w:fldChar w:fldCharType="begin"/>
      </w:r>
      <w:r w:rsidRPr="00EA0A41">
        <w:instrText xml:space="preserve"> REF _Ref39243485 \r \h </w:instrText>
      </w:r>
      <w:r>
        <w:fldChar w:fldCharType="separate"/>
      </w:r>
      <w:r w:rsidR="005A26D8">
        <w:t>[4]</w:t>
      </w:r>
      <w:r>
        <w:fldChar w:fldCharType="end"/>
      </w:r>
      <w:r w:rsidRPr="00EA0A41">
        <w:t xml:space="preserve">. Further details of the evaluation can be found in Annex </w:t>
      </w:r>
      <w:r>
        <w:t>A</w:t>
      </w:r>
      <w:r w:rsidRPr="00EA0A41">
        <w:t xml:space="preserve">. </w:t>
      </w:r>
      <w:r>
        <w:t>We follow the U</w:t>
      </w:r>
      <w:r w:rsidRPr="00EA0A41">
        <w:t xml:space="preserve">rban </w:t>
      </w:r>
      <w:r>
        <w:t>M</w:t>
      </w:r>
      <w:r w:rsidRPr="00EA0A41">
        <w:t>icro (</w:t>
      </w:r>
      <w:proofErr w:type="spellStart"/>
      <w:r w:rsidRPr="00EA0A41">
        <w:t>UMi</w:t>
      </w:r>
      <w:proofErr w:type="spellEnd"/>
      <w:r w:rsidRPr="00EA0A41">
        <w:t>)</w:t>
      </w:r>
      <w:r>
        <w:t xml:space="preserve"> s</w:t>
      </w:r>
      <w:r w:rsidRPr="00EA0A41">
        <w:t xml:space="preserve">treet </w:t>
      </w:r>
      <w:r>
        <w:t>c</w:t>
      </w:r>
      <w:r w:rsidRPr="00EA0A41">
        <w:t xml:space="preserve">anyon and Indoor Office </w:t>
      </w:r>
      <w:r>
        <w:t xml:space="preserve">scenarios as </w:t>
      </w:r>
      <w:r w:rsidRPr="00EA0A41">
        <w:t>parameteriz</w:t>
      </w:r>
      <w:r>
        <w:t>ed</w:t>
      </w:r>
      <w:r w:rsidRPr="00EA0A41">
        <w:t xml:space="preserve"> in Sec. 7.2 of </w:t>
      </w:r>
      <w:r>
        <w:fldChar w:fldCharType="begin"/>
      </w:r>
      <w:r w:rsidRPr="00EA0A41">
        <w:instrText xml:space="preserve"> REF _Ref39243485 \r \h </w:instrText>
      </w:r>
      <w:r>
        <w:fldChar w:fldCharType="separate"/>
      </w:r>
      <w:r w:rsidR="005A26D8">
        <w:t>[4]</w:t>
      </w:r>
      <w:r>
        <w:fldChar w:fldCharType="end"/>
      </w:r>
      <w:r w:rsidRPr="00EA0A41">
        <w:t>.</w:t>
      </w:r>
      <w:r>
        <w:t xml:space="preserve"> </w:t>
      </w:r>
      <w:r w:rsidRPr="00EA0A41">
        <w:t>We use the channel model CDL-D to evaluate channels under LOS conditions, and the channel model CDL-B to evaluate channels under NLOS conditions.</w:t>
      </w:r>
      <w:r>
        <w:t xml:space="preserve"> For a channel block</w:t>
      </w:r>
      <w:r w:rsidR="006864EA">
        <w:t xml:space="preserve"> (corresponding to a random UE drop in a cell)</w:t>
      </w:r>
      <w:r>
        <w:t xml:space="preserve">, we first randomly </w:t>
      </w:r>
      <w:r w:rsidRPr="00242DF1">
        <w:t>sampl</w:t>
      </w:r>
      <w:r w:rsidR="6CCD8654" w:rsidRPr="00242DF1">
        <w:t>e</w:t>
      </w:r>
      <w:r w:rsidRPr="00242DF1">
        <w:t xml:space="preserve"> mean angles (e.g., mean AOA) from their respective distributions (</w:t>
      </w:r>
      <w:r>
        <w:t>listed</w:t>
      </w:r>
      <w:r w:rsidRPr="00242DF1">
        <w:t xml:space="preserve"> in the beginning of Annex A) and randomiz</w:t>
      </w:r>
      <w:r w:rsidR="0CD32BF1" w:rsidRPr="00242DF1">
        <w:t>e</w:t>
      </w:r>
      <w:r w:rsidRPr="00242DF1">
        <w:t xml:space="preserve"> the UE orientation</w:t>
      </w:r>
      <w:r>
        <w:t xml:space="preserve">, together with the </w:t>
      </w:r>
      <w:r w:rsidRPr="00242DF1">
        <w:t>remaining parameters of the channel model</w:t>
      </w:r>
      <w:r>
        <w:t xml:space="preserve"> to obtain</w:t>
      </w:r>
      <w:r w:rsidRPr="00242DF1">
        <w:t xml:space="preserve"> a </w:t>
      </w:r>
      <w:r>
        <w:t xml:space="preserve">random </w:t>
      </w:r>
      <w:r w:rsidRPr="00242DF1">
        <w:t xml:space="preserve">channel </w:t>
      </w:r>
      <w:r>
        <w:t xml:space="preserve">initialization. </w:t>
      </w:r>
      <w:r w:rsidRPr="00242DF1">
        <w:t xml:space="preserve">Beam locking takes place based on this initial </w:t>
      </w:r>
      <w:r>
        <w:t xml:space="preserve">random </w:t>
      </w:r>
      <w:r w:rsidRPr="00242DF1">
        <w:t xml:space="preserve">channel </w:t>
      </w:r>
      <w:r>
        <w:t>initialization</w:t>
      </w:r>
      <w:r w:rsidRPr="00242DF1">
        <w:t xml:space="preserve">. </w:t>
      </w:r>
      <w:r>
        <w:t xml:space="preserve">With </w:t>
      </w:r>
      <w:r w:rsidRPr="00242DF1">
        <w:t>the large-scale parameters (</w:t>
      </w:r>
      <w:r>
        <w:t xml:space="preserve">such </w:t>
      </w:r>
      <w:r w:rsidRPr="00242DF1">
        <w:t xml:space="preserve">as </w:t>
      </w:r>
      <w:r>
        <w:t xml:space="preserve">the </w:t>
      </w:r>
      <w:r w:rsidRPr="00242DF1">
        <w:t>mean angles) fixed, we allow fast fading to occur (due the non-zero speed of the UE)</w:t>
      </w:r>
      <w:r>
        <w:t xml:space="preserve"> and collect the channel </w:t>
      </w:r>
      <w:r w:rsidRPr="00242DF1">
        <w:t>realizations</w:t>
      </w:r>
      <w:r>
        <w:t xml:space="preserve"> of the next </w:t>
      </w:r>
      <w:r w:rsidRPr="00242DF1">
        <w:t>50 consecutive slots experienced by a moving user.</w:t>
      </w:r>
      <w:r>
        <w:t xml:space="preserve"> </w:t>
      </w:r>
      <w:r w:rsidRPr="00242DF1">
        <w:t>This channel block</w:t>
      </w:r>
      <w:r w:rsidR="006864EA">
        <w:t xml:space="preserve"> (user drop)</w:t>
      </w:r>
      <w:r w:rsidRPr="00242DF1">
        <w:t xml:space="preserve">, of which a given beam pair operates, are used to compute a power delay profile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e>
        </m:d>
      </m:oMath>
      <w:r>
        <w:t>.</w:t>
      </w:r>
    </w:p>
    <w:p w14:paraId="5879AB02" w14:textId="482F6D4C" w:rsidR="008A2C71" w:rsidRPr="00EA0A41" w:rsidRDefault="008A2C71" w:rsidP="008A2C71">
      <w:pPr>
        <w:pStyle w:val="BodyText"/>
      </w:pPr>
      <w:r>
        <w:t xml:space="preserve">For each </w:t>
      </w:r>
      <w:r w:rsidR="4358E101">
        <w:t>estimate</w:t>
      </w:r>
      <w:r w:rsidR="00C00095">
        <w:t>d</w:t>
      </w:r>
      <w:r w:rsidR="4358E101">
        <w:t xml:space="preserve"> power delay profile</w:t>
      </w:r>
      <w:r>
        <w:t>,</w:t>
      </w:r>
      <w:r w:rsidR="35160321">
        <w:t xml:space="preserve"> </w:t>
      </w:r>
      <w:r w:rsidR="62DE1F50">
        <w:t>the</w:t>
      </w:r>
      <w:r>
        <w:t xml:space="preserve"> root mean square delay spread (RMS DS) is calculated:</w:t>
      </w:r>
    </w:p>
    <w:p w14:paraId="4EA250F4" w14:textId="77777777" w:rsidR="008A2C71" w:rsidRDefault="006253C2" w:rsidP="008A2C71">
      <w:pPr>
        <w:pStyle w:val="BodyText"/>
      </w:pPr>
      <m:oMathPara>
        <m:oMath>
          <m:sSub>
            <m:sSubPr>
              <m:ctrlPr>
                <w:rPr>
                  <w:rFonts w:ascii="Cambria Math" w:hAnsi="Cambria Math"/>
                  <w:i/>
                </w:rPr>
              </m:ctrlPr>
            </m:sSubPr>
            <m:e>
              <m:r>
                <w:rPr>
                  <w:rFonts w:ascii="Cambria Math" w:hAnsi="Cambria Math"/>
                </w:rPr>
                <m:t>τ</m:t>
              </m:r>
            </m:e>
            <m:sub>
              <m:r>
                <w:rPr>
                  <w:rFonts w:ascii="Cambria Math" w:hAnsi="Cambria Math"/>
                </w:rPr>
                <m:t>RMS</m:t>
              </m:r>
            </m:sub>
          </m:sSub>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p</m:t>
                              </m:r>
                            </m:e>
                            <m:sub>
                              <m:r>
                                <w:rPr>
                                  <w:rFonts w:ascii="Cambria Math" w:hAnsi="Cambria Math"/>
                                </w:rPr>
                                <m:t>n</m:t>
                              </m:r>
                            </m:sub>
                          </m:sSub>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acc>
                                    <m:accPr>
                                      <m:chr m:val="̅"/>
                                      <m:ctrlPr>
                                        <w:rPr>
                                          <w:rFonts w:ascii="Cambria Math" w:hAnsi="Cambria Math"/>
                                          <w:i/>
                                        </w:rPr>
                                      </m:ctrlPr>
                                    </m:accPr>
                                    <m:e>
                                      <m:r>
                                        <w:rPr>
                                          <w:rFonts w:ascii="Cambria Math" w:hAnsi="Cambria Math"/>
                                        </w:rPr>
                                        <m:t>τ</m:t>
                                      </m:r>
                                    </m:e>
                                  </m:acc>
                                </m:e>
                              </m:d>
                            </m:e>
                            <m:sup>
                              <m:r>
                                <w:rPr>
                                  <w:rFonts w:ascii="Cambria Math" w:hAnsi="Cambria Math"/>
                                </w:rPr>
                                <m:t>2</m:t>
                              </m:r>
                            </m:sup>
                          </m:sSup>
                        </m:e>
                      </m:nary>
                    </m:num>
                    <m:den>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oMath>
      </m:oMathPara>
    </w:p>
    <w:p w14:paraId="440889B1" w14:textId="6209316F" w:rsidR="008A2C71" w:rsidRPr="00EA0A41" w:rsidRDefault="008A2C71" w:rsidP="008A2C71">
      <w:pPr>
        <w:pStyle w:val="BodyText"/>
      </w:pPr>
      <w:r w:rsidRPr="00EA0A41">
        <w:t xml:space="preserve">where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e>
        </m:d>
      </m:oMath>
      <w:r w:rsidRPr="00EA0A41">
        <w:t xml:space="preserve"> are the received power and delay</w:t>
      </w:r>
      <w:r>
        <w:t xml:space="preserve"> of the </w:t>
      </w:r>
      <m:oMath>
        <m:r>
          <w:rPr>
            <w:rFonts w:ascii="Cambria Math" w:hAnsi="Cambria Math"/>
          </w:rPr>
          <m:t>n</m:t>
        </m:r>
      </m:oMath>
      <w:r>
        <w:t>-th tap,</w:t>
      </w:r>
      <w:r w:rsidRPr="00EA0A41">
        <w:t xml:space="preserve"> and </w:t>
      </w:r>
      <w:r w:rsidR="00991A5E">
        <w:t xml:space="preserve">the </w:t>
      </w:r>
      <w:r w:rsidRPr="00EA0A41">
        <w:t>mean delay</w:t>
      </w:r>
      <w:r w:rsidR="001627D2">
        <w:t xml:space="preserve"> </w:t>
      </w:r>
      <m:oMath>
        <m:acc>
          <m:accPr>
            <m:chr m:val="̅"/>
            <m:ctrlPr>
              <w:rPr>
                <w:rFonts w:ascii="Cambria Math" w:hAnsi="Cambria Math"/>
                <w:i/>
              </w:rPr>
            </m:ctrlPr>
          </m:accPr>
          <m:e>
            <m:r>
              <w:rPr>
                <w:rFonts w:ascii="Cambria Math" w:hAnsi="Cambria Math"/>
              </w:rPr>
              <m:t>τ</m:t>
            </m:r>
          </m:e>
        </m:acc>
      </m:oMath>
      <w:r w:rsidR="001627D2">
        <w:t xml:space="preserve"> is</w:t>
      </w:r>
      <w:r w:rsidRPr="00EA0A41">
        <w:t xml:space="preserve"> </w:t>
      </w:r>
      <w:r w:rsidR="001627D2">
        <w:t xml:space="preserve">given by </w:t>
      </w:r>
      <m:oMath>
        <m:f>
          <m:fPr>
            <m:type m:val="lin"/>
            <m:ctrlPr>
              <w:rPr>
                <w:rFonts w:ascii="Cambria Math" w:hAnsi="Cambria Math"/>
                <w:i/>
              </w:rPr>
            </m:ctrlPr>
          </m:fPr>
          <m:num>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τ</m:t>
                    </m:r>
                  </m:e>
                  <m:sub>
                    <m:r>
                      <w:rPr>
                        <w:rFonts w:ascii="Cambria Math" w:hAnsi="Cambria Math"/>
                      </w:rPr>
                      <m:t>n</m:t>
                    </m:r>
                  </m:sub>
                </m:sSub>
                <m:sSub>
                  <m:sSubPr>
                    <m:ctrlPr>
                      <w:rPr>
                        <w:rFonts w:ascii="Cambria Math" w:hAnsi="Cambria Math"/>
                        <w:i/>
                      </w:rPr>
                    </m:ctrlPr>
                  </m:sSubPr>
                  <m:e>
                    <m:r>
                      <w:rPr>
                        <w:rFonts w:ascii="Cambria Math" w:hAnsi="Cambria Math"/>
                      </w:rPr>
                      <m:t>p</m:t>
                    </m:r>
                  </m:e>
                  <m:sub>
                    <m:r>
                      <w:rPr>
                        <w:rFonts w:ascii="Cambria Math" w:hAnsi="Cambria Math"/>
                      </w:rPr>
                      <m:t>n</m:t>
                    </m:r>
                  </m:sub>
                </m:sSub>
              </m:e>
            </m:nary>
          </m:num>
          <m:den>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oMath>
      <w:r w:rsidRPr="00EA0A41">
        <w:t>.</w:t>
      </w:r>
      <w:r>
        <w:t xml:space="preserve"> </w:t>
      </w:r>
      <w:r w:rsidRPr="00242DF1">
        <w:t xml:space="preserve">The </w:t>
      </w:r>
      <w:r w:rsidRPr="00EA0A41">
        <w:t xml:space="preserve">distribution </w:t>
      </w:r>
      <w:r>
        <w:t>of the</w:t>
      </w:r>
      <w:r w:rsidR="2FDA212C">
        <w:t xml:space="preserve"> RMS DSs (one RMS DS per block)</w:t>
      </w:r>
      <w:r w:rsidR="00BB1403">
        <w:t xml:space="preserve"> </w:t>
      </w:r>
      <w:r w:rsidRPr="00242DF1">
        <w:t xml:space="preserve">can thus be seen as the range of </w:t>
      </w:r>
      <w:r>
        <w:t>RMS</w:t>
      </w:r>
      <w:r w:rsidRPr="00242DF1">
        <w:t xml:space="preserve"> delay spread values that a moving user, with arbitrary rotation, experiences across the different positions of the cell.</w:t>
      </w:r>
    </w:p>
    <w:p w14:paraId="1697181B" w14:textId="20955807" w:rsidR="008A2C71" w:rsidRPr="00EA0A41" w:rsidRDefault="008A2C71" w:rsidP="008A2C71">
      <w:pPr>
        <w:pStyle w:val="BodyText"/>
      </w:pPr>
      <w:r w:rsidRPr="00EA0A41">
        <w:t xml:space="preserve">In </w:t>
      </w:r>
      <w:r>
        <w:fldChar w:fldCharType="begin"/>
      </w:r>
      <w:r w:rsidRPr="00EA0A41">
        <w:instrText xml:space="preserve"> REF _Ref39500186 \h </w:instrText>
      </w:r>
      <w:r>
        <w:fldChar w:fldCharType="separate"/>
      </w:r>
      <w:r w:rsidR="005A26D8">
        <w:t>Figure</w:t>
      </w:r>
      <w:r w:rsidR="005A26D8" w:rsidRPr="00CE0424">
        <w:t xml:space="preserve"> </w:t>
      </w:r>
      <w:r w:rsidR="005A26D8">
        <w:rPr>
          <w:noProof/>
        </w:rPr>
        <w:t>3</w:t>
      </w:r>
      <w:r>
        <w:fldChar w:fldCharType="end"/>
      </w:r>
      <w:r w:rsidRPr="00EA0A41">
        <w:t xml:space="preserve"> and </w:t>
      </w:r>
      <w:r>
        <w:fldChar w:fldCharType="begin"/>
      </w:r>
      <w:r w:rsidRPr="00EA0A41">
        <w:instrText xml:space="preserve"> REF _Ref39500198 \h </w:instrText>
      </w:r>
      <w:r>
        <w:fldChar w:fldCharType="separate"/>
      </w:r>
      <w:r w:rsidR="005A26D8">
        <w:t>Figure</w:t>
      </w:r>
      <w:r w:rsidR="005A26D8" w:rsidRPr="00CE0424">
        <w:t xml:space="preserve"> </w:t>
      </w:r>
      <w:r w:rsidR="005A26D8">
        <w:rPr>
          <w:noProof/>
        </w:rPr>
        <w:t>4</w:t>
      </w:r>
      <w:r>
        <w:fldChar w:fldCharType="end"/>
      </w:r>
      <w:r w:rsidRPr="00EA0A41">
        <w:t xml:space="preserve">, we compile the </w:t>
      </w:r>
      <w:r>
        <w:t xml:space="preserve">RMS DS </w:t>
      </w:r>
      <w:r w:rsidRPr="00EA0A41">
        <w:t xml:space="preserve">cumulative distribution functions (CDF) of the channel realizations of the environments (“Pre-BF” lines). For each environment, we further collect the effective delay spreads incorporating the impact of </w:t>
      </w:r>
      <w:r w:rsidRPr="00806C4A">
        <w:t>analog</w:t>
      </w:r>
      <w:r w:rsidRPr="00EA0A41">
        <w:t xml:space="preserve"> beamforming at the transmitter and the receiver. </w:t>
      </w:r>
      <w:r>
        <w:t xml:space="preserve">Generally speaking, as beams become narrower, delay spread reduces. </w:t>
      </w:r>
      <w:r w:rsidRPr="00EA0A41">
        <w:t>We have chosen larger beamforming arrays for each environment in this study to isolate the impact of short CP in the following discussion. For practical systems with more realistic and smaller beamforming arrays, the system performance is expected to be worse than those discussed in this section</w:t>
      </w:r>
      <w:r w:rsidR="23A4AC43">
        <w:t xml:space="preserve"> (e.g. larger delay spreads and smaller signal-to interference ratios)</w:t>
      </w:r>
      <w:r>
        <w:t>.</w:t>
      </w:r>
    </w:p>
    <w:p w14:paraId="6AF29205" w14:textId="77777777" w:rsidR="008A2C71" w:rsidRDefault="008A2C71" w:rsidP="008A2C71">
      <w:pPr>
        <w:pStyle w:val="BodyText"/>
        <w:jc w:val="center"/>
      </w:pPr>
      <w:r w:rsidRPr="005544DD">
        <w:rPr>
          <w:noProof/>
        </w:rPr>
        <w:lastRenderedPageBreak/>
        <w:drawing>
          <wp:inline distT="0" distB="0" distL="0" distR="0" wp14:anchorId="5836DE5F" wp14:editId="4BFDBB3A">
            <wp:extent cx="2926080" cy="21945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D162D6">
        <w:rPr>
          <w:noProof/>
        </w:rPr>
        <w:drawing>
          <wp:inline distT="0" distB="0" distL="0" distR="0" wp14:anchorId="60047C4E" wp14:editId="2721AD2E">
            <wp:extent cx="2926080" cy="21945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76D8BAE1" w14:textId="5D424D2E" w:rsidR="008A2C71" w:rsidRPr="004370BD" w:rsidRDefault="008A2C71" w:rsidP="008A2C71">
      <w:pPr>
        <w:pStyle w:val="TF"/>
        <w:keepNext/>
        <w:rPr>
          <w:lang w:val="en-US"/>
        </w:rPr>
      </w:pPr>
      <w:bookmarkStart w:id="4" w:name="_Ref39500186"/>
      <w:r>
        <w:rPr>
          <w:lang w:val="en-US"/>
        </w:rPr>
        <w:t>Figure</w:t>
      </w:r>
      <w:r w:rsidRPr="00CE0424">
        <w:t xml:space="preserve"> </w:t>
      </w:r>
      <w:r>
        <w:fldChar w:fldCharType="begin"/>
      </w:r>
      <w:r>
        <w:instrText xml:space="preserve"> SEQ Figure \* ARABIC </w:instrText>
      </w:r>
      <w:r>
        <w:fldChar w:fldCharType="separate"/>
      </w:r>
      <w:r w:rsidR="005A26D8">
        <w:rPr>
          <w:noProof/>
        </w:rPr>
        <w:t>3</w:t>
      </w:r>
      <w:r>
        <w:rPr>
          <w:noProof/>
        </w:rPr>
        <w:fldChar w:fldCharType="end"/>
      </w:r>
      <w:bookmarkEnd w:id="4"/>
      <w:r w:rsidRPr="00CE0424">
        <w:t>:</w:t>
      </w:r>
      <w:r>
        <w:rPr>
          <w:lang w:val="en-US"/>
        </w:rPr>
        <w:t xml:space="preserve"> RMS delay spreads for Indoor and </w:t>
      </w:r>
      <w:proofErr w:type="spellStart"/>
      <w:r>
        <w:rPr>
          <w:lang w:val="en-US"/>
        </w:rPr>
        <w:t>UMi</w:t>
      </w:r>
      <w:proofErr w:type="spellEnd"/>
      <w:r>
        <w:rPr>
          <w:lang w:val="en-US"/>
        </w:rPr>
        <w:t xml:space="preserve"> CDL-D (LOS) channels.</w:t>
      </w:r>
    </w:p>
    <w:p w14:paraId="73864DAF" w14:textId="77777777" w:rsidR="008A2C71" w:rsidRDefault="008A2C71" w:rsidP="008A2C71">
      <w:pPr>
        <w:pStyle w:val="BodyText"/>
        <w:jc w:val="center"/>
      </w:pPr>
      <w:r w:rsidRPr="005544DD">
        <w:rPr>
          <w:noProof/>
        </w:rPr>
        <w:drawing>
          <wp:inline distT="0" distB="0" distL="0" distR="0" wp14:anchorId="51FD8651" wp14:editId="0616ABA5">
            <wp:extent cx="2926080" cy="21945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D162D6">
        <w:rPr>
          <w:noProof/>
        </w:rPr>
        <w:drawing>
          <wp:inline distT="0" distB="0" distL="0" distR="0" wp14:anchorId="2EC380BB" wp14:editId="1D2E4AB8">
            <wp:extent cx="2926080" cy="21945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025F2DD6" w14:textId="4B73021B" w:rsidR="008A2C71" w:rsidRPr="004370BD" w:rsidRDefault="008A2C71" w:rsidP="008A2C71">
      <w:pPr>
        <w:pStyle w:val="TF"/>
        <w:keepNext/>
        <w:rPr>
          <w:lang w:val="en-US"/>
        </w:rPr>
      </w:pPr>
      <w:bookmarkStart w:id="5" w:name="_Ref39500198"/>
      <w:r>
        <w:rPr>
          <w:lang w:val="en-US"/>
        </w:rPr>
        <w:t>Figure</w:t>
      </w:r>
      <w:r w:rsidRPr="00CE0424">
        <w:t xml:space="preserve"> </w:t>
      </w:r>
      <w:r>
        <w:fldChar w:fldCharType="begin"/>
      </w:r>
      <w:r>
        <w:instrText xml:space="preserve"> SEQ Figure \* ARABIC </w:instrText>
      </w:r>
      <w:r>
        <w:fldChar w:fldCharType="separate"/>
      </w:r>
      <w:r w:rsidR="005A26D8">
        <w:rPr>
          <w:noProof/>
        </w:rPr>
        <w:t>4</w:t>
      </w:r>
      <w:r>
        <w:rPr>
          <w:noProof/>
        </w:rPr>
        <w:fldChar w:fldCharType="end"/>
      </w:r>
      <w:bookmarkEnd w:id="5"/>
      <w:r w:rsidRPr="00CE0424">
        <w:t>:</w:t>
      </w:r>
      <w:r>
        <w:rPr>
          <w:lang w:val="en-US"/>
        </w:rPr>
        <w:t xml:space="preserve"> RMS delay spreads for Indoor and </w:t>
      </w:r>
      <w:proofErr w:type="spellStart"/>
      <w:r>
        <w:rPr>
          <w:lang w:val="en-US"/>
        </w:rPr>
        <w:t>UMi</w:t>
      </w:r>
      <w:proofErr w:type="spellEnd"/>
      <w:r>
        <w:rPr>
          <w:lang w:val="en-US"/>
        </w:rPr>
        <w:t xml:space="preserve"> CDL-B (NLOS) channels.</w:t>
      </w:r>
    </w:p>
    <w:p w14:paraId="76193434" w14:textId="77777777" w:rsidR="00A7279E" w:rsidRPr="00EA0A41" w:rsidRDefault="00A7279E" w:rsidP="00A7279E">
      <w:pPr>
        <w:pStyle w:val="BodyText"/>
      </w:pPr>
      <w:r w:rsidRPr="00EA0A41">
        <w:t xml:space="preserve">For the Indoor Office CDL-D </w:t>
      </w:r>
      <w:r>
        <w:t xml:space="preserve">(LOS) </w:t>
      </w:r>
      <w:r w:rsidRPr="00EA0A41">
        <w:t xml:space="preserve">channel model, we observe the RMS delay spreads can </w:t>
      </w:r>
      <w:r>
        <w:t>be</w:t>
      </w:r>
      <w:r w:rsidRPr="00EA0A41">
        <w:t xml:space="preserve"> up to around 110 ns without beamforming and </w:t>
      </w:r>
      <w:r>
        <w:t xml:space="preserve">up to </w:t>
      </w:r>
      <w:r w:rsidRPr="00EA0A41">
        <w:t xml:space="preserve">70 ns with 4x8 array at </w:t>
      </w:r>
      <w:r>
        <w:t xml:space="preserve">the </w:t>
      </w:r>
      <w:r w:rsidRPr="00EA0A41">
        <w:t xml:space="preserve">gNB. The CP length of the 960 kHz SCS can barely contain the large RMS delay spread in this environment with beamforming. Note that, since the RMS delay spread is </w:t>
      </w:r>
      <w:r>
        <w:t>an average value</w:t>
      </w:r>
      <w:r w:rsidRPr="00EA0A41">
        <w:t xml:space="preserve">, even when the RMS delay spread is smaller than the CP duration, actual delay taps can still exceed the CP duration and start to cause inter-symbol interferences (ISI) between OFDM symbols. Absence of ISI can only be guaranteed when the CP duration is several times larger than the RMS delay spread. </w:t>
      </w:r>
    </w:p>
    <w:p w14:paraId="3FF4AEA5" w14:textId="77777777" w:rsidR="00A7279E" w:rsidRPr="00EA0A41" w:rsidRDefault="00A7279E" w:rsidP="00A7279E">
      <w:pPr>
        <w:pStyle w:val="BodyText"/>
      </w:pPr>
      <w:r w:rsidRPr="00EA0A41">
        <w:t xml:space="preserve">For larger SCSs, the RMS delay spreads can be larger than the CP durations with significant probabilities for all environments considered here. For instance, in the Urban Micro CDL-B </w:t>
      </w:r>
      <w:r>
        <w:t xml:space="preserve">(NLOS) </w:t>
      </w:r>
      <w:r w:rsidRPr="00EA0A41">
        <w:t>channel model, the UE can expect to observe the RMS delays exceeding the CP durations with 30% and 50% probabilities for the 1920 kHz and 3849 kHz SCS, respectively, even with a very large 8x16 array at the gNB. As a result of these short CP durations, link performance can be frequently limited by ISI error floors in such environments.</w:t>
      </w:r>
    </w:p>
    <w:p w14:paraId="186E1694" w14:textId="4458CE4D" w:rsidR="008A2C71" w:rsidRDefault="008A2C71" w:rsidP="008A2C71">
      <w:pPr>
        <w:pStyle w:val="BodyText"/>
      </w:pPr>
      <w:r w:rsidRPr="00EA0A41">
        <w:t xml:space="preserve">To further </w:t>
      </w:r>
      <w:r>
        <w:t>investigate</w:t>
      </w:r>
      <w:r w:rsidRPr="00EA0A41">
        <w:t xml:space="preserve"> the impact of short CP durations on link performance, we calculate and compile the statistical distributions of the signal-to-ISI ratios (SIR) for the environments and beamforming array setups discussed in the above. To this end, denote the received </w:t>
      </w:r>
      <w:r w:rsidR="40A6AA4D" w:rsidRPr="00EA0A41">
        <w:t xml:space="preserve">tap </w:t>
      </w:r>
      <w:r w:rsidRPr="00EA0A41">
        <w:t xml:space="preserve">powers and delays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e>
        </m:d>
      </m:oMath>
      <w:r w:rsidRPr="00EA0A41">
        <w:t xml:space="preserve"> and the start of CP window by </w:t>
      </w:r>
      <m:oMath>
        <m:sSub>
          <m:sSubPr>
            <m:ctrlPr>
              <w:rPr>
                <w:rFonts w:ascii="Cambria Math" w:hAnsi="Cambria Math"/>
                <w:i/>
              </w:rPr>
            </m:ctrlPr>
          </m:sSubPr>
          <m:e>
            <m:r>
              <w:rPr>
                <w:rFonts w:ascii="Cambria Math" w:hAnsi="Cambria Math"/>
              </w:rPr>
              <m:t>t</m:t>
            </m:r>
          </m:e>
          <m:sub>
            <m:r>
              <w:rPr>
                <w:rFonts w:ascii="Cambria Math" w:hAnsi="Cambria Math"/>
              </w:rPr>
              <m:t>sync</m:t>
            </m:r>
          </m:sub>
        </m:sSub>
      </m:oMath>
      <w:r w:rsidRPr="00EA0A41">
        <w:t xml:space="preserve">. </w:t>
      </w:r>
      <w:r>
        <w:t xml:space="preserve">In </w:t>
      </w:r>
      <w:r>
        <w:fldChar w:fldCharType="begin"/>
      </w:r>
      <w:r>
        <w:instrText xml:space="preserve"> REF _Ref40090548 \h </w:instrText>
      </w:r>
      <w:r>
        <w:fldChar w:fldCharType="separate"/>
      </w:r>
      <w:r w:rsidR="005A26D8">
        <w:t>Figure</w:t>
      </w:r>
      <w:r w:rsidR="005A26D8" w:rsidRPr="00CE0424">
        <w:t xml:space="preserve"> </w:t>
      </w:r>
      <w:r w:rsidR="005A26D8">
        <w:rPr>
          <w:noProof/>
        </w:rPr>
        <w:t>5</w:t>
      </w:r>
      <w:r>
        <w:fldChar w:fldCharType="end"/>
      </w:r>
      <w:r>
        <w:t xml:space="preserve">, we illustrate the differently delayed received versions of OFDM symbols X-1, X and X+1. It can be seen that, when a signal arrives before the start of the CP window </w:t>
      </w:r>
      <m:oMath>
        <m:sSub>
          <m:sSubPr>
            <m:ctrlPr>
              <w:rPr>
                <w:rFonts w:ascii="Cambria Math" w:hAnsi="Cambria Math"/>
                <w:i/>
              </w:rPr>
            </m:ctrlPr>
          </m:sSubPr>
          <m:e>
            <m:r>
              <w:rPr>
                <w:rFonts w:ascii="Cambria Math" w:hAnsi="Cambria Math"/>
              </w:rPr>
              <m:t>t</m:t>
            </m:r>
          </m:e>
          <m:sub>
            <m:r>
              <w:rPr>
                <w:rFonts w:ascii="Cambria Math" w:hAnsi="Cambria Math"/>
              </w:rPr>
              <m:t>sync</m:t>
            </m:r>
          </m:sub>
        </m:sSub>
      </m:oMath>
      <w:r>
        <w:t xml:space="preserve">, part of symbol X+1 enters the </w:t>
      </w:r>
      <w:r w:rsidR="00424DF9">
        <w:t xml:space="preserve">FFT </w:t>
      </w:r>
      <w:r>
        <w:t xml:space="preserve">window of symbol X causing ISI. At the same time, part of the transmitted signal for symbol X is discarded resulting in loss of orthogonality. Similarly, when a signal arrives after the end of the CP window </w:t>
      </w:r>
      <m:oMath>
        <m:sSub>
          <m:sSubPr>
            <m:ctrlPr>
              <w:rPr>
                <w:rFonts w:ascii="Cambria Math" w:hAnsi="Cambria Math"/>
                <w:i/>
              </w:rPr>
            </m:ctrlPr>
          </m:sSubPr>
          <m:e>
            <m:r>
              <w:rPr>
                <w:rFonts w:ascii="Cambria Math" w:hAnsi="Cambria Math"/>
              </w:rPr>
              <m:t>t</m:t>
            </m:r>
          </m:e>
          <m:sub>
            <m:r>
              <w:rPr>
                <w:rFonts w:ascii="Cambria Math" w:hAnsi="Cambria Math"/>
              </w:rPr>
              <m:t>sync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part of symbol X-1 enters the </w:t>
      </w:r>
      <w:r w:rsidR="00424DF9">
        <w:t xml:space="preserve">FFT </w:t>
      </w:r>
      <w:r>
        <w:t>window of symbol X causing ISI and loss of orthogonality.</w:t>
      </w:r>
    </w:p>
    <w:p w14:paraId="3919B4C0" w14:textId="7AB832B1" w:rsidR="008F612C" w:rsidRPr="00EA0A41" w:rsidRDefault="008F612C" w:rsidP="008F612C">
      <w:pPr>
        <w:pStyle w:val="BodyText"/>
      </w:pPr>
      <w:r w:rsidRPr="00EA0A41">
        <w:t>The ratio of energy received in the receive window of symbol X and originating from symbol X to the energy originating from symbol X</w:t>
      </w:r>
      <w:r>
        <w:t>-1</w:t>
      </w:r>
      <w:r w:rsidRPr="00EA0A41">
        <w:t xml:space="preserve"> and X+</w:t>
      </w:r>
      <w:r>
        <w:t>1</w:t>
      </w:r>
      <w:r w:rsidRPr="00EA0A41">
        <w:t xml:space="preserve"> but received in the receiver window of symbol X due to excessive time dispersion can then be approximated by </w:t>
      </w:r>
      <w:r>
        <w:fldChar w:fldCharType="begin"/>
      </w:r>
      <w:r w:rsidRPr="00EA0A41">
        <w:instrText xml:space="preserve"> REF _Ref39243463 \r \h </w:instrText>
      </w:r>
      <w:r>
        <w:fldChar w:fldCharType="separate"/>
      </w:r>
      <w:r w:rsidR="005A26D8">
        <w:t>[5]</w:t>
      </w:r>
      <w:r>
        <w:fldChar w:fldCharType="end"/>
      </w:r>
      <w:r w:rsidRPr="00EA0A41">
        <w:t>:</w:t>
      </w:r>
    </w:p>
    <w:p w14:paraId="2A380B75" w14:textId="77777777" w:rsidR="008F612C" w:rsidRDefault="008F612C" w:rsidP="008F612C">
      <w:pPr>
        <w:pStyle w:val="BodyText"/>
      </w:pPr>
      <m:oMathPara>
        <m:oMath>
          <m:r>
            <w:rPr>
              <w:rFonts w:ascii="Cambria Math" w:hAnsi="Cambria Math"/>
            </w:rPr>
            <w:lastRenderedPageBreak/>
            <m:t>SIR=</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symb</m:t>
                  </m:r>
                </m:sub>
              </m:sSub>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p</m:t>
                      </m:r>
                    </m:e>
                    <m:sub>
                      <m:r>
                        <w:rPr>
                          <w:rFonts w:ascii="Cambria Math" w:hAnsi="Cambria Math"/>
                        </w:rPr>
                        <m:t>n</m:t>
                      </m:r>
                    </m:sub>
                  </m:sSub>
                </m:e>
              </m:nary>
            </m:num>
            <m:den>
              <m:r>
                <w:rPr>
                  <w:rFonts w:ascii="Cambria Math" w:hAnsi="Cambria Math"/>
                </w:rPr>
                <m:t>2</m:t>
              </m:r>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e</m:t>
                      </m:r>
                    </m:e>
                    <m:sub>
                      <m:r>
                        <w:rPr>
                          <w:rFonts w:ascii="Cambria Math" w:hAnsi="Cambria Math"/>
                        </w:rPr>
                        <m:t>n</m:t>
                      </m:r>
                    </m:sub>
                  </m:sSub>
                  <m:sSub>
                    <m:sSubPr>
                      <m:ctrlPr>
                        <w:rPr>
                          <w:rFonts w:ascii="Cambria Math" w:hAnsi="Cambria Math"/>
                          <w:i/>
                        </w:rPr>
                      </m:ctrlPr>
                    </m:sSubPr>
                    <m:e>
                      <m:r>
                        <w:rPr>
                          <w:rFonts w:ascii="Cambria Math" w:hAnsi="Cambria Math"/>
                        </w:rPr>
                        <m:t>p</m:t>
                      </m:r>
                    </m:e>
                    <m:sub>
                      <m:r>
                        <w:rPr>
                          <w:rFonts w:ascii="Cambria Math" w:hAnsi="Cambria Math"/>
                        </w:rPr>
                        <m:t>n</m:t>
                      </m:r>
                    </m:sub>
                  </m:sSub>
                </m:e>
              </m:nary>
            </m:den>
          </m:f>
        </m:oMath>
      </m:oMathPara>
    </w:p>
    <w:p w14:paraId="431C5BF3" w14:textId="77777777" w:rsidR="008F612C" w:rsidRPr="00EA0A41" w:rsidRDefault="008F612C" w:rsidP="008F612C">
      <w:pPr>
        <w:pStyle w:val="BodyText"/>
      </w:pPr>
      <w:r w:rsidRPr="00EA0A41">
        <w:t xml:space="preserve">where </w:t>
      </w:r>
      <m:oMath>
        <m:sSub>
          <m:sSubPr>
            <m:ctrlPr>
              <w:rPr>
                <w:rFonts w:ascii="Cambria Math" w:hAnsi="Cambria Math"/>
                <w:i/>
              </w:rPr>
            </m:ctrlPr>
          </m:sSubPr>
          <m:e>
            <m:r>
              <w:rPr>
                <w:rFonts w:ascii="Cambria Math" w:hAnsi="Cambria Math"/>
              </w:rPr>
              <m:t>T</m:t>
            </m:r>
          </m:e>
          <m:sub>
            <m:r>
              <w:rPr>
                <w:rFonts w:ascii="Cambria Math" w:hAnsi="Cambria Math"/>
              </w:rPr>
              <m:t>symb</m:t>
            </m:r>
          </m:sub>
        </m:sSub>
      </m:oMath>
      <w:r w:rsidRPr="00EA0A41">
        <w:t xml:space="preserve"> is the OFDM symbol duration</w:t>
      </w:r>
      <w:r>
        <w:t>.</w:t>
      </w:r>
      <w:r w:rsidRPr="00EA0A41">
        <w:t xml:space="preserve"> </w:t>
      </w:r>
      <w:r>
        <w:t>The</w:t>
      </w:r>
      <w:r w:rsidRPr="00EA0A41">
        <w:t xml:space="preserve"> ISI </w:t>
      </w:r>
      <w:r>
        <w:t>integration</w:t>
      </w:r>
      <w:r w:rsidRPr="00EA0A41">
        <w:t xml:space="preserve"> duration,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rsidRPr="00EA0A41">
        <w:t>, is given by</w:t>
      </w:r>
    </w:p>
    <w:p w14:paraId="320047F4" w14:textId="77777777" w:rsidR="008F612C" w:rsidRDefault="006253C2" w:rsidP="008F612C">
      <w:pPr>
        <w:pStyle w:val="BodyText"/>
      </w:pPr>
      <m:oMathPara>
        <m:oMath>
          <m:sSub>
            <m:sSubPr>
              <m:ctrlPr>
                <w:rPr>
                  <w:rFonts w:ascii="Cambria Math" w:hAnsi="Cambria Math"/>
                  <w:i/>
                </w:rPr>
              </m:ctrlPr>
            </m:sSubPr>
            <m:e>
              <m:r>
                <w:rPr>
                  <w:rFonts w:ascii="Cambria Math" w:hAnsi="Cambria Math"/>
                </w:rPr>
                <m:t>e</m:t>
              </m:r>
            </m:e>
            <m:sub>
              <m:r>
                <w:rPr>
                  <w:rFonts w:ascii="Cambria Math" w:hAnsi="Cambria Math"/>
                </w:rPr>
                <m:t>n</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t</m:t>
                      </m:r>
                    </m:e>
                    <m:sub>
                      <m:r>
                        <w:rPr>
                          <w:rFonts w:ascii="Cambria Math" w:hAnsi="Cambria Math"/>
                        </w:rPr>
                        <m:t>sync</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e>
              </m:d>
            </m:e>
          </m:func>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sync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e>
              </m:d>
            </m:e>
          </m:func>
        </m:oMath>
      </m:oMathPara>
    </w:p>
    <w:p w14:paraId="4FD52AD7" w14:textId="77777777" w:rsidR="008F612C" w:rsidRPr="00EA0A41" w:rsidRDefault="008F612C" w:rsidP="008F612C">
      <w:pPr>
        <w:pStyle w:val="BodyText"/>
      </w:pPr>
      <w:r w:rsidRPr="00EA0A41">
        <w:t xml:space="preserve">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EA0A41">
        <w:t xml:space="preserve"> is the CP duration. The first term of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rsidRPr="00EA0A41">
        <w:t xml:space="preserve"> is non-zero if the tap is early</w:t>
      </w:r>
      <w:r>
        <w:t xml:space="preserve"> and the second term is non-zero </w:t>
      </w:r>
      <w:r w:rsidRPr="00EA0A41">
        <w:t xml:space="preserve">if the tap is late (taking CP duration into account). </w:t>
      </w:r>
      <w:r>
        <w:t>As noted above, t</w:t>
      </w:r>
      <w:r w:rsidRPr="00EA0A41">
        <w:t>he factor of two in the denominator is to account for the loss of orthogonality between subcarriers caused by an impulse response not being fully contained in the CP as the effect of such long impulse response on the actual OFDM symbol cannot be expressed as a cyclic convolution.</w:t>
      </w:r>
    </w:p>
    <w:p w14:paraId="5264E935" w14:textId="77777777" w:rsidR="008A2C71" w:rsidRDefault="3111ED61" w:rsidP="008A2C71">
      <w:pPr>
        <w:pStyle w:val="BodyText"/>
        <w:keepNext/>
        <w:jc w:val="center"/>
      </w:pPr>
      <w:r>
        <w:rPr>
          <w:noProof/>
        </w:rPr>
        <w:drawing>
          <wp:inline distT="0" distB="0" distL="0" distR="0" wp14:anchorId="13F544F2" wp14:editId="61BCF7EC">
            <wp:extent cx="5029200" cy="1947672"/>
            <wp:effectExtent l="0" t="0" r="0" b="0"/>
            <wp:docPr id="13060030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29200" cy="1947672"/>
                    </a:xfrm>
                    <a:prstGeom prst="rect">
                      <a:avLst/>
                    </a:prstGeom>
                  </pic:spPr>
                </pic:pic>
              </a:graphicData>
            </a:graphic>
          </wp:inline>
        </w:drawing>
      </w:r>
    </w:p>
    <w:p w14:paraId="04538500" w14:textId="243719E2" w:rsidR="008A2C71" w:rsidRPr="004370BD" w:rsidRDefault="008A2C71" w:rsidP="008A2C71">
      <w:pPr>
        <w:pStyle w:val="TF"/>
        <w:keepNext/>
        <w:jc w:val="both"/>
        <w:rPr>
          <w:lang w:val="en-US"/>
        </w:rPr>
      </w:pPr>
      <w:bookmarkStart w:id="6" w:name="_Ref40090548"/>
      <w:r>
        <w:rPr>
          <w:lang w:val="en-US"/>
        </w:rPr>
        <w:t>Figure</w:t>
      </w:r>
      <w:r w:rsidRPr="00CE0424">
        <w:t xml:space="preserve"> </w:t>
      </w:r>
      <w:r>
        <w:fldChar w:fldCharType="begin"/>
      </w:r>
      <w:r>
        <w:instrText xml:space="preserve"> SEQ Figure \* ARABIC </w:instrText>
      </w:r>
      <w:r>
        <w:fldChar w:fldCharType="separate"/>
      </w:r>
      <w:r w:rsidR="005A26D8">
        <w:rPr>
          <w:noProof/>
        </w:rPr>
        <w:t>5</w:t>
      </w:r>
      <w:r>
        <w:rPr>
          <w:noProof/>
        </w:rPr>
        <w:fldChar w:fldCharType="end"/>
      </w:r>
      <w:bookmarkEnd w:id="6"/>
      <w:r w:rsidRPr="00CE0424">
        <w:t>:</w:t>
      </w:r>
      <w:r>
        <w:rPr>
          <w:lang w:val="en-US"/>
        </w:rPr>
        <w:t xml:space="preserve"> Analysis of inter-symbol interferences from symbol X-1 and X+1 to and loss of orthogonality in symbol X.</w:t>
      </w:r>
    </w:p>
    <w:p w14:paraId="6321E5AE" w14:textId="77777777" w:rsidR="008A2C71" w:rsidRPr="00EA0A41" w:rsidRDefault="008A2C71" w:rsidP="008A2C71">
      <w:pPr>
        <w:pStyle w:val="BodyText"/>
      </w:pPr>
      <w:r w:rsidRPr="00EA0A41">
        <w:t>For the purpose of the discussion in this section, we make a further optimistic assumption that the CP window for each channel realization is always optimized to minimize ISI. The SIR thus computed effectively serves as a cap on the effective SINR achievable under the considered environment and beamforming array setup given the numerology used. In practical and realistic systems and operations, SINR are expected to be worse than the upper bound discussed below.</w:t>
      </w:r>
    </w:p>
    <w:p w14:paraId="26753CEC" w14:textId="00B60315" w:rsidR="008A2C71" w:rsidRPr="00EA0A41" w:rsidRDefault="008A2C71" w:rsidP="008A2C71">
      <w:pPr>
        <w:pStyle w:val="BodyText"/>
      </w:pPr>
      <w:r>
        <w:t xml:space="preserve">The SIR for 960 kHz SCS in indoor and urban micro CDL-B channel models are shown in </w:t>
      </w:r>
      <w:r>
        <w:fldChar w:fldCharType="begin"/>
      </w:r>
      <w:r>
        <w:instrText xml:space="preserve"> REF _Ref39569969 \h </w:instrText>
      </w:r>
      <w:r>
        <w:fldChar w:fldCharType="separate"/>
      </w:r>
      <w:r w:rsidR="005A26D8">
        <w:t>Figure</w:t>
      </w:r>
      <w:r w:rsidR="005A26D8" w:rsidRPr="00CE0424">
        <w:t xml:space="preserve"> </w:t>
      </w:r>
      <w:r w:rsidR="005A26D8">
        <w:rPr>
          <w:noProof/>
        </w:rPr>
        <w:t>6</w:t>
      </w:r>
      <w:r>
        <w:fldChar w:fldCharType="end"/>
      </w:r>
      <w:r>
        <w:t xml:space="preserve">. For the indoor case, it can be observed that there is very little restriction on the achievable link SINR placed by ISI. For instance, ISI has no impact on achieving SINR up to 20 </w:t>
      </w:r>
      <w:proofErr w:type="spellStart"/>
      <w:r>
        <w:t>dB.</w:t>
      </w:r>
      <w:proofErr w:type="spellEnd"/>
      <w:r>
        <w:t xml:space="preserve"> A UE can expect a cap on achieving 30 dB SINR with probability of no more than 20%. For the outdoor, the negative impacts of the ISI are much visible in comparison. A UE can experience a cap on achieving SINR up to 20 dB with a 25% probability. A UE cannot expect a SINR of 30 dB 50% of the time. </w:t>
      </w:r>
    </w:p>
    <w:p w14:paraId="7AAEF51C" w14:textId="77777777" w:rsidR="008A2C71" w:rsidRDefault="008A2C71" w:rsidP="009439DA">
      <w:pPr>
        <w:pStyle w:val="BodyText"/>
        <w:keepNext/>
        <w:jc w:val="center"/>
      </w:pPr>
      <w:r w:rsidRPr="00EA0A41">
        <w:t xml:space="preserve"> </w:t>
      </w:r>
      <w:r w:rsidRPr="00AD10A3">
        <w:rPr>
          <w:noProof/>
        </w:rPr>
        <w:drawing>
          <wp:inline distT="0" distB="0" distL="0" distR="0" wp14:anchorId="3C55C17E" wp14:editId="40ECC2A9">
            <wp:extent cx="2926080"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3411CA">
        <w:rPr>
          <w:noProof/>
        </w:rPr>
        <w:drawing>
          <wp:inline distT="0" distB="0" distL="0" distR="0" wp14:anchorId="55F49699" wp14:editId="2342572E">
            <wp:extent cx="2926080" cy="21945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24FE2909" w14:textId="7956E3A2" w:rsidR="008A2C71" w:rsidRPr="004370BD" w:rsidRDefault="008A2C71" w:rsidP="008A2C71">
      <w:pPr>
        <w:pStyle w:val="TF"/>
        <w:keepNext/>
        <w:rPr>
          <w:lang w:val="en-US"/>
        </w:rPr>
      </w:pPr>
      <w:bookmarkStart w:id="7" w:name="_Ref39569969"/>
      <w:r>
        <w:rPr>
          <w:lang w:val="en-US"/>
        </w:rPr>
        <w:t>Figure</w:t>
      </w:r>
      <w:r w:rsidRPr="00CE0424">
        <w:t xml:space="preserve"> </w:t>
      </w:r>
      <w:r>
        <w:fldChar w:fldCharType="begin"/>
      </w:r>
      <w:r>
        <w:instrText xml:space="preserve"> SEQ Figure \* ARABIC </w:instrText>
      </w:r>
      <w:r>
        <w:fldChar w:fldCharType="separate"/>
      </w:r>
      <w:r w:rsidR="005A26D8">
        <w:rPr>
          <w:noProof/>
        </w:rPr>
        <w:t>6</w:t>
      </w:r>
      <w:r>
        <w:rPr>
          <w:noProof/>
        </w:rPr>
        <w:fldChar w:fldCharType="end"/>
      </w:r>
      <w:bookmarkEnd w:id="7"/>
      <w:r w:rsidRPr="00CE0424">
        <w:t>:</w:t>
      </w:r>
      <w:r>
        <w:rPr>
          <w:lang w:val="en-US"/>
        </w:rPr>
        <w:t xml:space="preserve"> Signal-to-ISI ratios for 960 kHz SCS in Indoor or </w:t>
      </w:r>
      <w:proofErr w:type="spellStart"/>
      <w:r>
        <w:rPr>
          <w:lang w:val="en-US"/>
        </w:rPr>
        <w:t>UMi</w:t>
      </w:r>
      <w:proofErr w:type="spellEnd"/>
      <w:r>
        <w:rPr>
          <w:lang w:val="en-US"/>
        </w:rPr>
        <w:t xml:space="preserve"> CDL-B (NLOS) channels.</w:t>
      </w:r>
    </w:p>
    <w:p w14:paraId="45790D78" w14:textId="09029763" w:rsidR="008A2C71" w:rsidRDefault="008A2C71" w:rsidP="008A2C71">
      <w:pPr>
        <w:pStyle w:val="BodyText"/>
      </w:pPr>
      <w:r>
        <w:t xml:space="preserve">The SIR for 1920 and 3840 kHz SCS in Indoor CDL-B channels are plotted in </w:t>
      </w:r>
      <w:r>
        <w:fldChar w:fldCharType="begin"/>
      </w:r>
      <w:r>
        <w:instrText xml:space="preserve"> REF _Ref39570614 \h </w:instrText>
      </w:r>
      <w:r>
        <w:fldChar w:fldCharType="separate"/>
      </w:r>
      <w:r w:rsidR="005A26D8">
        <w:t>Figure</w:t>
      </w:r>
      <w:r w:rsidR="005A26D8" w:rsidRPr="00CE0424">
        <w:t xml:space="preserve"> </w:t>
      </w:r>
      <w:r w:rsidR="005A26D8">
        <w:rPr>
          <w:noProof/>
        </w:rPr>
        <w:t>7</w:t>
      </w:r>
      <w:r>
        <w:fldChar w:fldCharType="end"/>
      </w:r>
      <w:r>
        <w:t xml:space="preserve">. Unlike the case of 960 kHz SCS discussed above, ISI places clear limits on the link performance for these wider SCSs even for the indoor environment. For instance, instead of seeing no restriction on achieving 20 dB SINR with 960 kHz SCS, </w:t>
      </w:r>
      <w:r>
        <w:lastRenderedPageBreak/>
        <w:t xml:space="preserve">20% of links are barred from it with 1920 kHz SCS. For 3840 kHz SCS, 50% of links are capped from achieving 20 dB SINR. In fact, by comparing the right-hand-side plots of </w:t>
      </w:r>
      <w:r>
        <w:fldChar w:fldCharType="begin"/>
      </w:r>
      <w:r>
        <w:instrText xml:space="preserve"> REF _Ref39569969 \h </w:instrText>
      </w:r>
      <w:r>
        <w:fldChar w:fldCharType="separate"/>
      </w:r>
      <w:r w:rsidR="005A26D8">
        <w:t>Figure</w:t>
      </w:r>
      <w:r w:rsidR="005A26D8" w:rsidRPr="00CE0424">
        <w:t xml:space="preserve"> </w:t>
      </w:r>
      <w:r w:rsidR="005A26D8">
        <w:rPr>
          <w:noProof/>
        </w:rPr>
        <w:t>6</w:t>
      </w:r>
      <w:r>
        <w:fldChar w:fldCharType="end"/>
      </w:r>
      <w:r>
        <w:t xml:space="preserve"> and </w:t>
      </w:r>
      <w:r>
        <w:fldChar w:fldCharType="begin"/>
      </w:r>
      <w:r>
        <w:instrText xml:space="preserve"> REF _Ref39570614 \h </w:instrText>
      </w:r>
      <w:r>
        <w:fldChar w:fldCharType="separate"/>
      </w:r>
      <w:r w:rsidR="005A26D8">
        <w:t>Figure</w:t>
      </w:r>
      <w:r w:rsidR="005A26D8" w:rsidRPr="00CE0424">
        <w:t xml:space="preserve"> </w:t>
      </w:r>
      <w:r w:rsidR="005A26D8">
        <w:rPr>
          <w:noProof/>
        </w:rPr>
        <w:t>7</w:t>
      </w:r>
      <w:r>
        <w:fldChar w:fldCharType="end"/>
      </w:r>
      <w:r>
        <w:t xml:space="preserve">, it can be observed that the cap on achievable SINR from using 3840 kHz SCS in an indoor environment is more severe than that from 960 kHz SCS in the more dispersive outdoor environment. </w:t>
      </w:r>
    </w:p>
    <w:p w14:paraId="50068E35" w14:textId="77777777" w:rsidR="008A2C71" w:rsidRPr="00EA0A41" w:rsidRDefault="008A2C71" w:rsidP="008A2C71">
      <w:pPr>
        <w:pStyle w:val="BodyText"/>
      </w:pPr>
      <w:r w:rsidRPr="000C2DFE">
        <w:rPr>
          <w:noProof/>
        </w:rPr>
        <w:drawing>
          <wp:inline distT="0" distB="0" distL="0" distR="0" wp14:anchorId="43175342" wp14:editId="70E1D2C1">
            <wp:extent cx="2926080" cy="21945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EA0A41">
        <w:t xml:space="preserve">  </w:t>
      </w:r>
      <w:r w:rsidRPr="000D4011">
        <w:rPr>
          <w:noProof/>
        </w:rPr>
        <w:drawing>
          <wp:inline distT="0" distB="0" distL="0" distR="0" wp14:anchorId="225F36C4" wp14:editId="39C4D266">
            <wp:extent cx="2926080" cy="21945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268A6A63" w14:textId="1FD7003B" w:rsidR="008A2C71" w:rsidRPr="004370BD" w:rsidRDefault="008A2C71" w:rsidP="008A2C71">
      <w:pPr>
        <w:pStyle w:val="TF"/>
        <w:keepNext/>
        <w:rPr>
          <w:lang w:val="en-US"/>
        </w:rPr>
      </w:pPr>
      <w:bookmarkStart w:id="8" w:name="_Ref39570614"/>
      <w:r>
        <w:rPr>
          <w:lang w:val="en-US"/>
        </w:rPr>
        <w:t>Figure</w:t>
      </w:r>
      <w:r w:rsidRPr="00CE0424">
        <w:t xml:space="preserve"> </w:t>
      </w:r>
      <w:r>
        <w:fldChar w:fldCharType="begin"/>
      </w:r>
      <w:r>
        <w:instrText xml:space="preserve"> SEQ Figure \* ARABIC </w:instrText>
      </w:r>
      <w:r>
        <w:fldChar w:fldCharType="separate"/>
      </w:r>
      <w:r w:rsidR="005A26D8">
        <w:rPr>
          <w:noProof/>
        </w:rPr>
        <w:t>7</w:t>
      </w:r>
      <w:r>
        <w:rPr>
          <w:noProof/>
        </w:rPr>
        <w:fldChar w:fldCharType="end"/>
      </w:r>
      <w:bookmarkEnd w:id="8"/>
      <w:r w:rsidRPr="00CE0424">
        <w:t>:</w:t>
      </w:r>
      <w:r>
        <w:rPr>
          <w:lang w:val="en-US"/>
        </w:rPr>
        <w:t xml:space="preserve"> Signal-to-ISI ratios for 1920 and 3840 kHz SCS in Indoor CDL-B (NLOS) channels.</w:t>
      </w:r>
    </w:p>
    <w:p w14:paraId="2720175B" w14:textId="6D2FF063" w:rsidR="008A2C71" w:rsidRPr="004370BD" w:rsidRDefault="008A2C71" w:rsidP="008A2C71">
      <w:pPr>
        <w:pStyle w:val="BodyText"/>
      </w:pPr>
      <w:r>
        <w:t xml:space="preserve">In </w:t>
      </w:r>
      <w:r>
        <w:fldChar w:fldCharType="begin"/>
      </w:r>
      <w:r>
        <w:instrText xml:space="preserve"> REF _Ref39571799 \h </w:instrText>
      </w:r>
      <w:r>
        <w:fldChar w:fldCharType="separate"/>
      </w:r>
      <w:r w:rsidR="005A26D8">
        <w:t>Figure</w:t>
      </w:r>
      <w:r w:rsidR="005A26D8" w:rsidRPr="00CE0424">
        <w:t xml:space="preserve"> </w:t>
      </w:r>
      <w:r w:rsidR="005A26D8">
        <w:rPr>
          <w:noProof/>
        </w:rPr>
        <w:t>8</w:t>
      </w:r>
      <w:r>
        <w:fldChar w:fldCharType="end"/>
      </w:r>
      <w:r>
        <w:t xml:space="preserve">, we provide the SIR for 1920 and 3840 kHz SCS in </w:t>
      </w:r>
      <w:proofErr w:type="spellStart"/>
      <w:r>
        <w:t>UMi</w:t>
      </w:r>
      <w:proofErr w:type="spellEnd"/>
      <w:r>
        <w:t xml:space="preserve"> CDL-B channels. The impacts of ISI become the dominant determinant of the link performance when such large SCSs are used in the outdoor environment. For instance, instead of essentially no restriction on achieving 10 dB SINR with 960 kHz SCS, around 15% and 30% of the links for 1920 and 3840 kHz SCSs, respectively, are capped below 10 dB SINR. </w:t>
      </w:r>
    </w:p>
    <w:p w14:paraId="152CCB2A" w14:textId="77777777" w:rsidR="008A2C71" w:rsidRPr="00EA0A41" w:rsidRDefault="008A2C71" w:rsidP="008A2C71">
      <w:pPr>
        <w:pStyle w:val="BodyText"/>
      </w:pPr>
      <w:r w:rsidRPr="00346690">
        <w:rPr>
          <w:noProof/>
        </w:rPr>
        <w:drawing>
          <wp:inline distT="0" distB="0" distL="0" distR="0" wp14:anchorId="4EC85AB0" wp14:editId="774BDE49">
            <wp:extent cx="2926080"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EA0A41">
        <w:t xml:space="preserve"> </w:t>
      </w:r>
      <w:r w:rsidRPr="00FF14D0">
        <w:rPr>
          <w:noProof/>
        </w:rPr>
        <w:drawing>
          <wp:inline distT="0" distB="0" distL="0" distR="0" wp14:anchorId="349B9A3F" wp14:editId="507922F3">
            <wp:extent cx="2926080"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727ABA36" w14:textId="78636CA1" w:rsidR="008A2C71" w:rsidRPr="004370BD" w:rsidRDefault="008A2C71" w:rsidP="008A2C71">
      <w:pPr>
        <w:pStyle w:val="TF"/>
        <w:keepNext/>
        <w:rPr>
          <w:lang w:val="en-US"/>
        </w:rPr>
      </w:pPr>
      <w:bookmarkStart w:id="9" w:name="_Ref39571799"/>
      <w:r>
        <w:rPr>
          <w:lang w:val="en-US"/>
        </w:rPr>
        <w:t>Figure</w:t>
      </w:r>
      <w:r w:rsidRPr="00CE0424">
        <w:t xml:space="preserve"> </w:t>
      </w:r>
      <w:r>
        <w:fldChar w:fldCharType="begin"/>
      </w:r>
      <w:r>
        <w:instrText xml:space="preserve"> SEQ Figure \* ARABIC </w:instrText>
      </w:r>
      <w:r>
        <w:fldChar w:fldCharType="separate"/>
      </w:r>
      <w:r w:rsidR="005A26D8">
        <w:rPr>
          <w:noProof/>
        </w:rPr>
        <w:t>8</w:t>
      </w:r>
      <w:r>
        <w:rPr>
          <w:noProof/>
        </w:rPr>
        <w:fldChar w:fldCharType="end"/>
      </w:r>
      <w:bookmarkEnd w:id="9"/>
      <w:r w:rsidRPr="00CE0424">
        <w:t>:</w:t>
      </w:r>
      <w:r>
        <w:rPr>
          <w:lang w:val="en-US"/>
        </w:rPr>
        <w:t xml:space="preserve"> Signal-to-ISI ratios for 1920 and 3840 kHz SCS in </w:t>
      </w:r>
      <w:proofErr w:type="spellStart"/>
      <w:r>
        <w:rPr>
          <w:lang w:val="en-US"/>
        </w:rPr>
        <w:t>UMi</w:t>
      </w:r>
      <w:proofErr w:type="spellEnd"/>
      <w:r>
        <w:rPr>
          <w:lang w:val="en-US"/>
        </w:rPr>
        <w:t xml:space="preserve"> CDL-B (NLOS) channels.</w:t>
      </w:r>
    </w:p>
    <w:p w14:paraId="69468D0B" w14:textId="69B83945" w:rsidR="008A2C71" w:rsidRDefault="3111ED61" w:rsidP="008A2C71">
      <w:pPr>
        <w:pStyle w:val="BodyText"/>
      </w:pPr>
      <w:r>
        <w:t>From these numerical results, we observe that using a very large SCS can severely limit the availability of achievable data rates even for an indoor environment. The CP length of the 960 kHz SCS provides better protection against ISI</w:t>
      </w:r>
      <w:r w:rsidR="7DB4FE92">
        <w:t>, which in turn</w:t>
      </w:r>
      <w:r>
        <w:t xml:space="preserve"> enables more availability of higher data rates in the system.</w:t>
      </w:r>
    </w:p>
    <w:p w14:paraId="5DE249A3" w14:textId="77777777" w:rsidR="002E600B" w:rsidRDefault="002E600B" w:rsidP="002E600B">
      <w:pPr>
        <w:pStyle w:val="BodyText"/>
      </w:pPr>
    </w:p>
    <w:p w14:paraId="66A1B3A6" w14:textId="77777777" w:rsidR="008A2C71" w:rsidRDefault="008A2C71" w:rsidP="008A2C71">
      <w:pPr>
        <w:pStyle w:val="Heading2"/>
      </w:pPr>
      <w:r>
        <w:t>4.3</w:t>
      </w:r>
      <w:r>
        <w:tab/>
        <w:t>Coverage and applicable deployment scenarios</w:t>
      </w:r>
    </w:p>
    <w:p w14:paraId="6475DFB6" w14:textId="77777777" w:rsidR="008A2C71" w:rsidRDefault="008A2C71" w:rsidP="008A2C71">
      <w:pPr>
        <w:pStyle w:val="BodyText"/>
      </w:pPr>
      <w:r>
        <w:t>With a larger SCS, the OFDM symbol duration becomes shorter which limits the accumulation of signal energy due to the shorter durations. As a result, link budget and coverage can become severely compromised.</w:t>
      </w:r>
    </w:p>
    <w:p w14:paraId="1914455A" w14:textId="46D51544" w:rsidR="008A2C71" w:rsidRPr="004370BD" w:rsidRDefault="008A2C71" w:rsidP="008A2C71">
      <w:pPr>
        <w:pStyle w:val="TF"/>
        <w:keepNext/>
        <w:spacing w:before="120" w:after="120"/>
        <w:rPr>
          <w:lang w:val="en-US"/>
        </w:rPr>
      </w:pPr>
      <w:r>
        <w:rPr>
          <w:lang w:val="en-US"/>
        </w:rPr>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5A26D8">
        <w:rPr>
          <w:noProof/>
          <w:lang w:val="en-US"/>
        </w:rPr>
        <w:t>9</w:t>
      </w:r>
      <w:r w:rsidRPr="00731273">
        <w:rPr>
          <w:lang w:val="en-US"/>
        </w:rPr>
        <w:fldChar w:fldCharType="end"/>
      </w:r>
      <w:r w:rsidRPr="00731273">
        <w:rPr>
          <w:lang w:val="en-US"/>
        </w:rPr>
        <w:t>:</w:t>
      </w:r>
      <w:r>
        <w:rPr>
          <w:lang w:val="en-US"/>
        </w:rPr>
        <w:t xml:space="preserve"> Slot duration for difference </w:t>
      </w:r>
      <w:r w:rsidRPr="00731273">
        <w:rPr>
          <w:lang w:val="en-US"/>
        </w:rPr>
        <w:t>sub-carrier spacing</w:t>
      </w:r>
      <w:r>
        <w:rPr>
          <w:lang w:val="en-US"/>
        </w:rPr>
        <w:t>s</w:t>
      </w:r>
    </w:p>
    <w:tbl>
      <w:tblPr>
        <w:tblStyle w:val="TableGrid"/>
        <w:tblW w:w="0" w:type="auto"/>
        <w:tblLook w:val="04A0" w:firstRow="1" w:lastRow="0" w:firstColumn="1" w:lastColumn="0" w:noHBand="0" w:noVBand="1"/>
      </w:tblPr>
      <w:tblGrid>
        <w:gridCol w:w="2605"/>
        <w:gridCol w:w="1170"/>
        <w:gridCol w:w="1171"/>
        <w:gridCol w:w="1171"/>
        <w:gridCol w:w="1170"/>
        <w:gridCol w:w="1171"/>
        <w:gridCol w:w="1171"/>
      </w:tblGrid>
      <w:tr w:rsidR="008A2C71" w:rsidRPr="003D63C4" w14:paraId="38915514" w14:textId="77777777" w:rsidTr="00AC1B06">
        <w:tc>
          <w:tcPr>
            <w:tcW w:w="2605" w:type="dxa"/>
            <w:vAlign w:val="bottom"/>
          </w:tcPr>
          <w:p w14:paraId="39B54751"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SCS [kHz]</w:t>
            </w:r>
          </w:p>
        </w:tc>
        <w:tc>
          <w:tcPr>
            <w:tcW w:w="1170" w:type="dxa"/>
            <w:vAlign w:val="bottom"/>
          </w:tcPr>
          <w:p w14:paraId="7A7DBC0C"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120</w:t>
            </w:r>
          </w:p>
        </w:tc>
        <w:tc>
          <w:tcPr>
            <w:tcW w:w="1171" w:type="dxa"/>
            <w:vAlign w:val="bottom"/>
          </w:tcPr>
          <w:p w14:paraId="44A41F75"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240</w:t>
            </w:r>
          </w:p>
        </w:tc>
        <w:tc>
          <w:tcPr>
            <w:tcW w:w="1171" w:type="dxa"/>
            <w:vAlign w:val="bottom"/>
          </w:tcPr>
          <w:p w14:paraId="67579229"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480</w:t>
            </w:r>
          </w:p>
        </w:tc>
        <w:tc>
          <w:tcPr>
            <w:tcW w:w="1170" w:type="dxa"/>
            <w:vAlign w:val="bottom"/>
          </w:tcPr>
          <w:p w14:paraId="258F13C0"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960</w:t>
            </w:r>
          </w:p>
        </w:tc>
        <w:tc>
          <w:tcPr>
            <w:tcW w:w="1171" w:type="dxa"/>
            <w:vAlign w:val="bottom"/>
          </w:tcPr>
          <w:p w14:paraId="7CF572F4"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1920</w:t>
            </w:r>
          </w:p>
        </w:tc>
        <w:tc>
          <w:tcPr>
            <w:tcW w:w="1171" w:type="dxa"/>
            <w:vAlign w:val="bottom"/>
          </w:tcPr>
          <w:p w14:paraId="6F480268"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3840</w:t>
            </w:r>
          </w:p>
        </w:tc>
      </w:tr>
      <w:tr w:rsidR="008A2C71" w:rsidRPr="003D63C4" w14:paraId="78553CE2" w14:textId="77777777" w:rsidTr="00AC1B06">
        <w:tc>
          <w:tcPr>
            <w:tcW w:w="2605" w:type="dxa"/>
            <w:vAlign w:val="bottom"/>
          </w:tcPr>
          <w:p w14:paraId="3A79BF80"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Slot duration [μs]</w:t>
            </w:r>
          </w:p>
        </w:tc>
        <w:tc>
          <w:tcPr>
            <w:tcW w:w="1170" w:type="dxa"/>
            <w:vAlign w:val="bottom"/>
          </w:tcPr>
          <w:p w14:paraId="6BB4662B"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125</w:t>
            </w:r>
          </w:p>
        </w:tc>
        <w:tc>
          <w:tcPr>
            <w:tcW w:w="1171" w:type="dxa"/>
            <w:vAlign w:val="bottom"/>
          </w:tcPr>
          <w:p w14:paraId="02C06334"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62.5</w:t>
            </w:r>
          </w:p>
        </w:tc>
        <w:tc>
          <w:tcPr>
            <w:tcW w:w="1171" w:type="dxa"/>
            <w:vAlign w:val="bottom"/>
          </w:tcPr>
          <w:p w14:paraId="29AA84CE"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31.25</w:t>
            </w:r>
          </w:p>
        </w:tc>
        <w:tc>
          <w:tcPr>
            <w:tcW w:w="1170" w:type="dxa"/>
            <w:vAlign w:val="bottom"/>
          </w:tcPr>
          <w:p w14:paraId="0DB58E2F"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15.63</w:t>
            </w:r>
          </w:p>
        </w:tc>
        <w:tc>
          <w:tcPr>
            <w:tcW w:w="1171" w:type="dxa"/>
            <w:vAlign w:val="bottom"/>
          </w:tcPr>
          <w:p w14:paraId="091C6629"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7.81</w:t>
            </w:r>
          </w:p>
        </w:tc>
        <w:tc>
          <w:tcPr>
            <w:tcW w:w="1171" w:type="dxa"/>
            <w:vAlign w:val="bottom"/>
          </w:tcPr>
          <w:p w14:paraId="2187F881"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3.91</w:t>
            </w:r>
          </w:p>
        </w:tc>
      </w:tr>
    </w:tbl>
    <w:p w14:paraId="790DAA00" w14:textId="77777777" w:rsidR="008A2C71" w:rsidRDefault="008A2C71" w:rsidP="008A2C71">
      <w:pPr>
        <w:pStyle w:val="BodyText"/>
      </w:pPr>
    </w:p>
    <w:p w14:paraId="1C3FC49A" w14:textId="77777777" w:rsidR="008A2C71" w:rsidRDefault="008A2C71" w:rsidP="008A2C71">
      <w:pPr>
        <w:pStyle w:val="BodyText"/>
      </w:pPr>
      <w:r>
        <w:lastRenderedPageBreak/>
        <w:t>Taking PDCCH carrying, say, 72 bits as an example. With a CORESET of three OS in duration, this PDCCH represents a 21 Mbps link with 960 kHz SCS. The same PDCCH becomes 42 and 84 Mbps links for 1920 and 3840 kHz SCS, respectively. At the low SINR coverage limit regime, transmission rate is directly proportional to the operating SINR. Hence, PDCCH coverage with the 1920 and 3840 kHz SCS are 3 and 6 dB worse than that with 960 kHz SCS. Similar coverage shortages for other fixed payload size signals (such as PSS/SSS/PBCH, PRACH, PUCCH, paging, msg2) with larger SCSs can be concluded as shown in the above analysis.</w:t>
      </w:r>
    </w:p>
    <w:p w14:paraId="5566127F" w14:textId="7F79470F" w:rsidR="008A2C71" w:rsidRDefault="008A2C71" w:rsidP="008A2C71">
      <w:pPr>
        <w:pStyle w:val="BodyText"/>
      </w:pPr>
      <w:r>
        <w:t>For variable payload size channels such as the PDSCH and the PUSCH, the importance of coherent accumulation duration can be appreciated by revisiting the formula for calculating the signal-to-ISI ratio:</w:t>
      </w:r>
    </w:p>
    <w:p w14:paraId="47E08813" w14:textId="77777777" w:rsidR="008A2C71" w:rsidRDefault="008A2C71" w:rsidP="008A2C71">
      <w:pPr>
        <w:pStyle w:val="BodyText"/>
      </w:pPr>
      <m:oMathPara>
        <m:oMath>
          <m:r>
            <w:rPr>
              <w:rFonts w:ascii="Cambria Math" w:hAnsi="Cambria Math"/>
            </w:rPr>
            <m:t>SIR=</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symb</m:t>
                  </m:r>
                </m:sub>
              </m:sSub>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p</m:t>
                      </m:r>
                    </m:e>
                    <m:sub>
                      <m:r>
                        <w:rPr>
                          <w:rFonts w:ascii="Cambria Math" w:hAnsi="Cambria Math"/>
                        </w:rPr>
                        <m:t>n</m:t>
                      </m:r>
                    </m:sub>
                  </m:sSub>
                </m:e>
              </m:nary>
            </m:num>
            <m:den>
              <m:r>
                <w:rPr>
                  <w:rFonts w:ascii="Cambria Math" w:hAnsi="Cambria Math"/>
                </w:rPr>
                <m:t>2</m:t>
              </m:r>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e</m:t>
                      </m:r>
                    </m:e>
                    <m:sub>
                      <m:r>
                        <w:rPr>
                          <w:rFonts w:ascii="Cambria Math" w:hAnsi="Cambria Math"/>
                        </w:rPr>
                        <m:t>n</m:t>
                      </m:r>
                    </m:sub>
                  </m:sSub>
                  <m:sSub>
                    <m:sSubPr>
                      <m:ctrlPr>
                        <w:rPr>
                          <w:rFonts w:ascii="Cambria Math" w:hAnsi="Cambria Math"/>
                          <w:i/>
                        </w:rPr>
                      </m:ctrlPr>
                    </m:sSubPr>
                    <m:e>
                      <m:r>
                        <w:rPr>
                          <w:rFonts w:ascii="Cambria Math" w:hAnsi="Cambria Math"/>
                        </w:rPr>
                        <m:t>p</m:t>
                      </m:r>
                    </m:e>
                    <m:sub>
                      <m:r>
                        <w:rPr>
                          <w:rFonts w:ascii="Cambria Math" w:hAnsi="Cambria Math"/>
                        </w:rPr>
                        <m:t>n</m:t>
                      </m:r>
                    </m:sub>
                  </m:sSub>
                </m:e>
              </m:nary>
            </m:den>
          </m:f>
        </m:oMath>
      </m:oMathPara>
    </w:p>
    <w:p w14:paraId="0BD11700" w14:textId="5CB7A42A" w:rsidR="008A2C71" w:rsidRDefault="008A2C71" w:rsidP="008A2C71">
      <w:pPr>
        <w:pStyle w:val="BodyText"/>
      </w:pPr>
      <w:r>
        <w:t xml:space="preserve">It can be observed, given the same received power, the numerator is directly proportional to the OFDM symbol duration. Therefore, SIR can still be severely limited by short OFDM symbol duration associated with large SCSs even if the amount of the ISI remains the same. This pertains to the cases where extended CPs are used in conjunction with larger SCS to mitigate the amount of ISI. As tabulated in </w:t>
      </w:r>
      <w:r>
        <w:fldChar w:fldCharType="begin"/>
      </w:r>
      <w:r>
        <w:instrText xml:space="preserve"> REF _Ref39582754 \h </w:instrText>
      </w:r>
      <w:r>
        <w:fldChar w:fldCharType="separate"/>
      </w:r>
      <w:r w:rsidR="005A26D8">
        <w:t>Figure</w:t>
      </w:r>
      <w:r w:rsidR="005A26D8" w:rsidRPr="00731273">
        <w:t xml:space="preserve"> </w:t>
      </w:r>
      <w:r w:rsidR="005A26D8">
        <w:rPr>
          <w:noProof/>
        </w:rPr>
        <w:t>10</w:t>
      </w:r>
      <w:r>
        <w:fldChar w:fldCharType="end"/>
      </w:r>
      <w:r>
        <w:t>, the durations of the extended CPs for the 1920 and 3840 kHz SCS can be made to be similar or even longer than that for the 960 kHz SCS. However, what matters at the end for the link and system performance is the SIR which depends not only on the amount of accumulated ISI energy but also the amount of accumulated signal energy. Furthermore, data rates are reduced by 15% because of the higher overhead introduced by using extended CP.</w:t>
      </w:r>
    </w:p>
    <w:p w14:paraId="6F6C0329" w14:textId="4F33A6DD" w:rsidR="008A2C71" w:rsidRPr="004370BD" w:rsidRDefault="008A2C71" w:rsidP="008A2C71">
      <w:pPr>
        <w:pStyle w:val="TF"/>
        <w:keepNext/>
        <w:spacing w:before="120" w:after="120"/>
        <w:rPr>
          <w:lang w:val="en-US"/>
        </w:rPr>
      </w:pPr>
      <w:bookmarkStart w:id="10" w:name="_Ref39582754"/>
      <w:bookmarkStart w:id="11" w:name="_Ref39582747"/>
      <w:r>
        <w:rPr>
          <w:lang w:val="en-US"/>
        </w:rPr>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5A26D8">
        <w:rPr>
          <w:noProof/>
          <w:lang w:val="en-US"/>
        </w:rPr>
        <w:t>10</w:t>
      </w:r>
      <w:r w:rsidRPr="00731273">
        <w:rPr>
          <w:lang w:val="en-US"/>
        </w:rPr>
        <w:fldChar w:fldCharType="end"/>
      </w:r>
      <w:bookmarkEnd w:id="10"/>
      <w:r w:rsidRPr="00731273">
        <w:rPr>
          <w:lang w:val="en-US"/>
        </w:rPr>
        <w:t>:</w:t>
      </w:r>
      <w:r>
        <w:rPr>
          <w:lang w:val="en-US"/>
        </w:rPr>
        <w:t xml:space="preserve"> Extended CP durations for difference </w:t>
      </w:r>
      <w:r w:rsidRPr="00731273">
        <w:rPr>
          <w:lang w:val="en-US"/>
        </w:rPr>
        <w:t>sub-carrier spacing</w:t>
      </w:r>
      <w:r>
        <w:rPr>
          <w:lang w:val="en-US"/>
        </w:rPr>
        <w:t>s</w:t>
      </w:r>
      <w:bookmarkEnd w:id="11"/>
    </w:p>
    <w:tbl>
      <w:tblPr>
        <w:tblStyle w:val="TableGrid"/>
        <w:tblW w:w="0" w:type="auto"/>
        <w:tblLook w:val="04A0" w:firstRow="1" w:lastRow="0" w:firstColumn="1" w:lastColumn="0" w:noHBand="0" w:noVBand="1"/>
      </w:tblPr>
      <w:tblGrid>
        <w:gridCol w:w="2158"/>
        <w:gridCol w:w="1062"/>
        <w:gridCol w:w="1063"/>
        <w:gridCol w:w="1063"/>
        <w:gridCol w:w="1030"/>
        <w:gridCol w:w="1035"/>
        <w:gridCol w:w="1035"/>
        <w:gridCol w:w="1183"/>
      </w:tblGrid>
      <w:tr w:rsidR="008A2C71" w:rsidRPr="003D63C4" w14:paraId="75E85145" w14:textId="77777777" w:rsidTr="00AC1B06">
        <w:tc>
          <w:tcPr>
            <w:tcW w:w="2158" w:type="dxa"/>
            <w:vAlign w:val="bottom"/>
          </w:tcPr>
          <w:p w14:paraId="1DC22386"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SCS [kHz]</w:t>
            </w:r>
          </w:p>
        </w:tc>
        <w:tc>
          <w:tcPr>
            <w:tcW w:w="1062" w:type="dxa"/>
            <w:vAlign w:val="bottom"/>
          </w:tcPr>
          <w:p w14:paraId="3BD98740"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120</w:t>
            </w:r>
          </w:p>
        </w:tc>
        <w:tc>
          <w:tcPr>
            <w:tcW w:w="1063" w:type="dxa"/>
            <w:vAlign w:val="bottom"/>
          </w:tcPr>
          <w:p w14:paraId="2326653D"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240</w:t>
            </w:r>
          </w:p>
        </w:tc>
        <w:tc>
          <w:tcPr>
            <w:tcW w:w="1063" w:type="dxa"/>
            <w:vAlign w:val="bottom"/>
          </w:tcPr>
          <w:p w14:paraId="1306977A"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480</w:t>
            </w:r>
          </w:p>
        </w:tc>
        <w:tc>
          <w:tcPr>
            <w:tcW w:w="1030" w:type="dxa"/>
            <w:vAlign w:val="bottom"/>
          </w:tcPr>
          <w:p w14:paraId="7EEDCD47"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960</w:t>
            </w:r>
          </w:p>
        </w:tc>
        <w:tc>
          <w:tcPr>
            <w:tcW w:w="1035" w:type="dxa"/>
            <w:vAlign w:val="bottom"/>
          </w:tcPr>
          <w:p w14:paraId="03E91236"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1920</w:t>
            </w:r>
          </w:p>
        </w:tc>
        <w:tc>
          <w:tcPr>
            <w:tcW w:w="1035" w:type="dxa"/>
            <w:vAlign w:val="bottom"/>
          </w:tcPr>
          <w:p w14:paraId="1F6C4702" w14:textId="77777777" w:rsidR="008A2C71" w:rsidRPr="00552480" w:rsidRDefault="008A2C71"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3840</w:t>
            </w:r>
          </w:p>
        </w:tc>
        <w:tc>
          <w:tcPr>
            <w:tcW w:w="1183" w:type="dxa"/>
          </w:tcPr>
          <w:p w14:paraId="17ECE3B5" w14:textId="77777777" w:rsidR="008A2C71" w:rsidRPr="00552480" w:rsidRDefault="008A2C71" w:rsidP="00AC1B06">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Overhead</w:t>
            </w:r>
          </w:p>
        </w:tc>
      </w:tr>
      <w:tr w:rsidR="008A2C71" w:rsidRPr="003D63C4" w14:paraId="1A96B33D" w14:textId="77777777" w:rsidTr="00AC1B06">
        <w:tc>
          <w:tcPr>
            <w:tcW w:w="2158" w:type="dxa"/>
            <w:vAlign w:val="bottom"/>
          </w:tcPr>
          <w:p w14:paraId="6C82BEF2" w14:textId="77777777" w:rsidR="008A2C71" w:rsidRDefault="008A2C71" w:rsidP="00AC1B06">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 xml:space="preserve">ECP </w:t>
            </w:r>
            <w:r w:rsidRPr="00552480">
              <w:rPr>
                <w:rFonts w:eastAsiaTheme="minorEastAsia" w:cs="Arial"/>
                <w:color w:val="000000" w:themeColor="text1"/>
                <w:kern w:val="24"/>
              </w:rPr>
              <w:t>duration [</w:t>
            </w:r>
            <w:r>
              <w:rPr>
                <w:rFonts w:eastAsiaTheme="minorEastAsia" w:cs="Arial"/>
                <w:color w:val="000000" w:themeColor="text1"/>
                <w:kern w:val="24"/>
              </w:rPr>
              <w:t>n</w:t>
            </w:r>
            <w:r w:rsidRPr="00552480">
              <w:rPr>
                <w:rFonts w:eastAsiaTheme="minorEastAsia" w:cs="Arial"/>
                <w:color w:val="000000" w:themeColor="text1"/>
                <w:kern w:val="24"/>
              </w:rPr>
              <w:t>s]</w:t>
            </w:r>
          </w:p>
        </w:tc>
        <w:tc>
          <w:tcPr>
            <w:tcW w:w="1062" w:type="dxa"/>
          </w:tcPr>
          <w:p w14:paraId="6EE445EB" w14:textId="77777777" w:rsidR="008A2C71" w:rsidRPr="00931B68" w:rsidRDefault="008A2C71" w:rsidP="00AC1B06">
            <w:pPr>
              <w:pStyle w:val="BodyText"/>
              <w:spacing w:before="40" w:after="40"/>
              <w:jc w:val="center"/>
            </w:pPr>
            <w:r w:rsidRPr="00776B6E">
              <w:t>2083.3</w:t>
            </w:r>
          </w:p>
        </w:tc>
        <w:tc>
          <w:tcPr>
            <w:tcW w:w="1063" w:type="dxa"/>
          </w:tcPr>
          <w:p w14:paraId="465B39E3" w14:textId="77777777" w:rsidR="008A2C71" w:rsidRPr="00931B68" w:rsidRDefault="008A2C71" w:rsidP="00AC1B06">
            <w:pPr>
              <w:pStyle w:val="BodyText"/>
              <w:spacing w:before="40" w:after="40"/>
              <w:jc w:val="center"/>
            </w:pPr>
            <w:r w:rsidRPr="00776B6E">
              <w:t>1041.7</w:t>
            </w:r>
          </w:p>
        </w:tc>
        <w:tc>
          <w:tcPr>
            <w:tcW w:w="1063" w:type="dxa"/>
          </w:tcPr>
          <w:p w14:paraId="34C89A7F" w14:textId="77777777" w:rsidR="008A2C71" w:rsidRPr="00931B68" w:rsidRDefault="008A2C71" w:rsidP="00AC1B06">
            <w:pPr>
              <w:pStyle w:val="BodyText"/>
              <w:spacing w:before="40" w:after="40"/>
              <w:jc w:val="center"/>
            </w:pPr>
            <w:r w:rsidRPr="00776B6E">
              <w:t>520.8</w:t>
            </w:r>
          </w:p>
        </w:tc>
        <w:tc>
          <w:tcPr>
            <w:tcW w:w="1030" w:type="dxa"/>
          </w:tcPr>
          <w:p w14:paraId="0EDBDC99" w14:textId="77777777" w:rsidR="008A2C71" w:rsidRPr="00931B68" w:rsidRDefault="008A2C71" w:rsidP="00AC1B06">
            <w:pPr>
              <w:pStyle w:val="BodyText"/>
              <w:spacing w:before="40" w:after="40"/>
              <w:jc w:val="center"/>
            </w:pPr>
            <w:r w:rsidRPr="00776B6E">
              <w:t>260.4</w:t>
            </w:r>
          </w:p>
        </w:tc>
        <w:tc>
          <w:tcPr>
            <w:tcW w:w="1035" w:type="dxa"/>
          </w:tcPr>
          <w:p w14:paraId="23AA809F" w14:textId="77777777" w:rsidR="008A2C71" w:rsidRPr="00931B68" w:rsidRDefault="008A2C71" w:rsidP="00AC1B06">
            <w:pPr>
              <w:pStyle w:val="BodyText"/>
              <w:spacing w:before="40" w:after="40"/>
              <w:jc w:val="center"/>
            </w:pPr>
            <w:r w:rsidRPr="00776B6E">
              <w:t>130.2</w:t>
            </w:r>
          </w:p>
        </w:tc>
        <w:tc>
          <w:tcPr>
            <w:tcW w:w="1035" w:type="dxa"/>
          </w:tcPr>
          <w:p w14:paraId="5F151F96" w14:textId="77777777" w:rsidR="008A2C71" w:rsidRPr="00931B68" w:rsidRDefault="008A2C71" w:rsidP="00AC1B06">
            <w:pPr>
              <w:pStyle w:val="BodyText"/>
              <w:spacing w:before="40" w:after="40"/>
              <w:jc w:val="center"/>
            </w:pPr>
            <w:r w:rsidRPr="00776B6E">
              <w:t>65.1</w:t>
            </w:r>
          </w:p>
        </w:tc>
        <w:tc>
          <w:tcPr>
            <w:tcW w:w="1183" w:type="dxa"/>
          </w:tcPr>
          <w:p w14:paraId="4869B6CD" w14:textId="77777777" w:rsidR="008A2C71" w:rsidRDefault="008A2C71" w:rsidP="00AC1B06">
            <w:pPr>
              <w:pStyle w:val="BodyText"/>
              <w:spacing w:before="40" w:after="40"/>
              <w:jc w:val="center"/>
            </w:pPr>
            <w:r>
              <w:t>20%</w:t>
            </w:r>
          </w:p>
        </w:tc>
      </w:tr>
    </w:tbl>
    <w:p w14:paraId="2266D9B1" w14:textId="77777777" w:rsidR="008A2C71" w:rsidRDefault="008A2C71" w:rsidP="008A2C71">
      <w:pPr>
        <w:pStyle w:val="BodyText"/>
      </w:pPr>
    </w:p>
    <w:p w14:paraId="5EBA2D6C" w14:textId="5FFFA665" w:rsidR="008A2C71" w:rsidRDefault="008A2C71" w:rsidP="008A2C71">
      <w:pPr>
        <w:pStyle w:val="BodyText"/>
      </w:pPr>
      <w:r>
        <w:t xml:space="preserve">To quantify the above analysis numerically, we provide first the SIR for the 3840 kHz SCS with extended CP in Indoor or </w:t>
      </w:r>
      <w:proofErr w:type="spellStart"/>
      <w:r>
        <w:t>UMi</w:t>
      </w:r>
      <w:proofErr w:type="spellEnd"/>
      <w:r>
        <w:t xml:space="preserve"> CDL-B channels in </w:t>
      </w:r>
      <w:r>
        <w:fldChar w:fldCharType="begin"/>
      </w:r>
      <w:r>
        <w:instrText xml:space="preserve"> REF _Ref39583474 \h </w:instrText>
      </w:r>
      <w:r>
        <w:fldChar w:fldCharType="separate"/>
      </w:r>
      <w:r w:rsidR="005A26D8">
        <w:t>Figure</w:t>
      </w:r>
      <w:r w:rsidR="005A26D8" w:rsidRPr="00CE0424">
        <w:t xml:space="preserve"> </w:t>
      </w:r>
      <w:r w:rsidR="005A26D8">
        <w:rPr>
          <w:noProof/>
        </w:rPr>
        <w:t>11</w:t>
      </w:r>
      <w:r>
        <w:fldChar w:fldCharType="end"/>
      </w:r>
      <w:r>
        <w:t xml:space="preserve">. Compared to the SIR for the 960 kHz SCS with normal CP shown in </w:t>
      </w:r>
      <w:r>
        <w:fldChar w:fldCharType="begin"/>
      </w:r>
      <w:r>
        <w:instrText xml:space="preserve"> REF _Ref39569969 \h </w:instrText>
      </w:r>
      <w:r>
        <w:fldChar w:fldCharType="separate"/>
      </w:r>
      <w:r w:rsidR="005A26D8">
        <w:t>Figure</w:t>
      </w:r>
      <w:r w:rsidR="005A26D8" w:rsidRPr="00CE0424">
        <w:t xml:space="preserve"> </w:t>
      </w:r>
      <w:r w:rsidR="005A26D8">
        <w:rPr>
          <w:noProof/>
        </w:rPr>
        <w:t>6</w:t>
      </w:r>
      <w:r>
        <w:fldChar w:fldCharType="end"/>
      </w:r>
      <w:r>
        <w:t>, we can see that the caps on the link SINR for the 3840 kHz SCS with extended CP is everywhere worse than those the 960 kHz SCS with normal CP. For instance, for the indoor case, there is essentially no restriction on achieving 20 dB SINR with 960 kHz SCS with normal CP but at least 10% of the links with 3840 kHz SCS with extended CP will not be able to do so. Looking at the 30 dB SINR point, less than 20% of the links are restricted when using 960 kHz SCS with normal CP but more than 20% the links are limited below in this SINR when 3840 kHz SCS with extended CP is used. Similar observations for the outdoor cases can also be made.</w:t>
      </w:r>
      <w:r w:rsidR="000614A9">
        <w:t xml:space="preserve"> </w:t>
      </w:r>
      <w:r w:rsidR="00896821">
        <w:t xml:space="preserve">Since the </w:t>
      </w:r>
      <w:r w:rsidR="00432FC6">
        <w:t>384</w:t>
      </w:r>
      <w:r w:rsidR="000A1CC3">
        <w:t>0</w:t>
      </w:r>
      <w:r w:rsidR="00432FC6">
        <w:t xml:space="preserve"> </w:t>
      </w:r>
      <w:r w:rsidR="000A1CC3">
        <w:t>k</w:t>
      </w:r>
      <w:r w:rsidR="00432FC6">
        <w:t xml:space="preserve">Hz SCS </w:t>
      </w:r>
      <w:proofErr w:type="spellStart"/>
      <w:r w:rsidR="00896821">
        <w:t>eCP</w:t>
      </w:r>
      <w:proofErr w:type="spellEnd"/>
      <w:r w:rsidR="00896821">
        <w:t xml:space="preserve"> </w:t>
      </w:r>
      <w:r w:rsidR="00D91AEE">
        <w:t xml:space="preserve">duration of 65 ns </w:t>
      </w:r>
      <w:r w:rsidR="00432FC6">
        <w:t xml:space="preserve">is still shorter than </w:t>
      </w:r>
      <w:r w:rsidR="006F1D64">
        <w:t xml:space="preserve">the 960 kHz SCS </w:t>
      </w:r>
      <w:proofErr w:type="spellStart"/>
      <w:r w:rsidR="006F1D64">
        <w:t>nCP</w:t>
      </w:r>
      <w:proofErr w:type="spellEnd"/>
      <w:r w:rsidR="006F1D64">
        <w:t xml:space="preserve"> duration of 73 ns</w:t>
      </w:r>
      <w:r w:rsidR="009248C7">
        <w:t xml:space="preserve">, </w:t>
      </w:r>
      <w:r w:rsidR="00D944B5">
        <w:t xml:space="preserve">the amount </w:t>
      </w:r>
      <w:r w:rsidR="006615F5">
        <w:t xml:space="preserve">of ISI </w:t>
      </w:r>
      <w:r w:rsidR="000A1CC3">
        <w:t xml:space="preserve">experienced by a carrier with 3840 kHz SCS </w:t>
      </w:r>
      <w:r w:rsidR="006A1EBA">
        <w:t xml:space="preserve">and </w:t>
      </w:r>
      <w:proofErr w:type="spellStart"/>
      <w:r w:rsidR="006A1EBA">
        <w:t>eCP</w:t>
      </w:r>
      <w:proofErr w:type="spellEnd"/>
      <w:r w:rsidR="006A1EBA">
        <w:t xml:space="preserve"> </w:t>
      </w:r>
      <w:r w:rsidR="00BF611C">
        <w:t>is still heightened relative to that by a carrier with 960 kHz SCS.</w:t>
      </w:r>
      <w:r w:rsidR="001B0789">
        <w:t xml:space="preserve"> At the same time, the received signal energy is reduced by </w:t>
      </w:r>
      <w:r w:rsidR="009566F6">
        <w:t xml:space="preserve">6 </w:t>
      </w:r>
      <w:proofErr w:type="spellStart"/>
      <w:r w:rsidR="009566F6">
        <w:t>dB</w:t>
      </w:r>
      <w:r w:rsidR="0070036E">
        <w:t>.</w:t>
      </w:r>
      <w:proofErr w:type="spellEnd"/>
      <w:r w:rsidR="0070036E">
        <w:t xml:space="preserve"> </w:t>
      </w:r>
      <w:r w:rsidR="004E54EC">
        <w:t xml:space="preserve">Both point to </w:t>
      </w:r>
      <w:r w:rsidR="00E838EA">
        <w:t xml:space="preserve">inferior performance of </w:t>
      </w:r>
      <w:r w:rsidR="00AA1AA4">
        <w:t xml:space="preserve">use </w:t>
      </w:r>
      <w:r w:rsidR="00CF6BF4">
        <w:t xml:space="preserve">3840 kHz SCS with </w:t>
      </w:r>
      <w:proofErr w:type="spellStart"/>
      <w:r w:rsidR="00CF6BF4">
        <w:t>eCP</w:t>
      </w:r>
      <w:proofErr w:type="spellEnd"/>
      <w:r w:rsidR="00EB3898">
        <w:t>.</w:t>
      </w:r>
    </w:p>
    <w:p w14:paraId="276D6513" w14:textId="77777777" w:rsidR="008A2C71" w:rsidRDefault="008A2C71" w:rsidP="008A2C71">
      <w:pPr>
        <w:pStyle w:val="BodyText"/>
      </w:pPr>
      <w:r w:rsidRPr="00F60973">
        <w:rPr>
          <w:noProof/>
        </w:rPr>
        <w:drawing>
          <wp:inline distT="0" distB="0" distL="0" distR="0" wp14:anchorId="523EA9BB" wp14:editId="49024286">
            <wp:extent cx="2926080" cy="2194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F60973">
        <w:t xml:space="preserve"> </w:t>
      </w:r>
      <w:r w:rsidRPr="00C50FCA">
        <w:rPr>
          <w:noProof/>
        </w:rPr>
        <w:drawing>
          <wp:inline distT="0" distB="0" distL="0" distR="0" wp14:anchorId="76BEF57A" wp14:editId="16DC519E">
            <wp:extent cx="2926080" cy="21945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2ACB3F67" w14:textId="538821C6" w:rsidR="008A2C71" w:rsidRPr="004370BD" w:rsidRDefault="008A2C71" w:rsidP="008A2C71">
      <w:pPr>
        <w:pStyle w:val="TF"/>
        <w:keepNext/>
        <w:rPr>
          <w:lang w:val="en-US"/>
        </w:rPr>
      </w:pPr>
      <w:bookmarkStart w:id="12" w:name="_Ref39583474"/>
      <w:r>
        <w:rPr>
          <w:lang w:val="en-US"/>
        </w:rPr>
        <w:t>Figure</w:t>
      </w:r>
      <w:r w:rsidRPr="00CE0424">
        <w:t xml:space="preserve"> </w:t>
      </w:r>
      <w:r>
        <w:fldChar w:fldCharType="begin"/>
      </w:r>
      <w:r>
        <w:instrText xml:space="preserve"> SEQ Figure \* ARABIC </w:instrText>
      </w:r>
      <w:r>
        <w:fldChar w:fldCharType="separate"/>
      </w:r>
      <w:r w:rsidR="005A26D8">
        <w:rPr>
          <w:noProof/>
        </w:rPr>
        <w:t>11</w:t>
      </w:r>
      <w:r>
        <w:rPr>
          <w:noProof/>
        </w:rPr>
        <w:fldChar w:fldCharType="end"/>
      </w:r>
      <w:bookmarkEnd w:id="12"/>
      <w:r w:rsidRPr="00CE0424">
        <w:t>:</w:t>
      </w:r>
      <w:r>
        <w:rPr>
          <w:lang w:val="en-US"/>
        </w:rPr>
        <w:t xml:space="preserve"> Signal-to-ISI ratios for 3840 kHz SCS with extended CP in Indoor or </w:t>
      </w:r>
      <w:proofErr w:type="spellStart"/>
      <w:r>
        <w:rPr>
          <w:lang w:val="en-US"/>
        </w:rPr>
        <w:t>UMi</w:t>
      </w:r>
      <w:proofErr w:type="spellEnd"/>
      <w:r>
        <w:rPr>
          <w:lang w:val="en-US"/>
        </w:rPr>
        <w:t xml:space="preserve"> CDL-B channels.</w:t>
      </w:r>
    </w:p>
    <w:p w14:paraId="524C206B" w14:textId="60A858B1" w:rsidR="008A2C71" w:rsidRDefault="008A2C71" w:rsidP="008A2C71">
      <w:pPr>
        <w:pStyle w:val="BodyText"/>
      </w:pPr>
      <w:r>
        <w:t xml:space="preserve">The SIR for the 1920 kHz SCS with extended CP in Indoor or </w:t>
      </w:r>
      <w:proofErr w:type="spellStart"/>
      <w:r>
        <w:t>UMi</w:t>
      </w:r>
      <w:proofErr w:type="spellEnd"/>
      <w:r>
        <w:t xml:space="preserve"> CDL-B channels are shown in </w:t>
      </w:r>
      <w:r>
        <w:fldChar w:fldCharType="begin"/>
      </w:r>
      <w:r>
        <w:instrText xml:space="preserve"> REF _Ref39584553 \h </w:instrText>
      </w:r>
      <w:r>
        <w:fldChar w:fldCharType="separate"/>
      </w:r>
      <w:r w:rsidR="005A26D8">
        <w:t>Figure</w:t>
      </w:r>
      <w:r w:rsidR="005A26D8" w:rsidRPr="00CE0424">
        <w:t xml:space="preserve"> </w:t>
      </w:r>
      <w:r w:rsidR="005A26D8">
        <w:rPr>
          <w:noProof/>
        </w:rPr>
        <w:t>12</w:t>
      </w:r>
      <w:r>
        <w:fldChar w:fldCharType="end"/>
      </w:r>
      <w:r>
        <w:t xml:space="preserve">. For the outdoor case, the use of extended CP reduces the SINR caps placed on the 1920 kHz SCS links substantially. However, the use of 1920 kHz SCS for outdoor environment presents a significant negative </w:t>
      </w:r>
      <w:r>
        <w:lastRenderedPageBreak/>
        <w:t xml:space="preserve">impact on the control and hence system coverage as discussed in the above. For the indoor case, the SINR caps placed by the 1920 kHz SCS with extended CP range from somewhat worse to similar to those placed by the 960 kHz SCS with normal CP. However, as clearly noted in </w:t>
      </w:r>
      <w:r>
        <w:fldChar w:fldCharType="begin"/>
      </w:r>
      <w:r>
        <w:instrText xml:space="preserve"> REF _Ref39485433 \h </w:instrText>
      </w:r>
      <w:r>
        <w:fldChar w:fldCharType="separate"/>
      </w:r>
      <w:r w:rsidR="005A26D8">
        <w:t>Figure</w:t>
      </w:r>
      <w:r w:rsidR="005A26D8" w:rsidRPr="00CE0424">
        <w:t xml:space="preserve"> </w:t>
      </w:r>
      <w:r w:rsidR="005A26D8">
        <w:rPr>
          <w:noProof/>
        </w:rPr>
        <w:t>2</w:t>
      </w:r>
      <w:r>
        <w:fldChar w:fldCharType="end"/>
      </w:r>
      <w:r>
        <w:t xml:space="preserve"> and </w:t>
      </w:r>
      <w:r>
        <w:fldChar w:fldCharType="begin"/>
      </w:r>
      <w:r>
        <w:instrText xml:space="preserve"> REF _Ref39582754 \h </w:instrText>
      </w:r>
      <w:r>
        <w:fldChar w:fldCharType="separate"/>
      </w:r>
      <w:r w:rsidR="005A26D8">
        <w:t>Figure</w:t>
      </w:r>
      <w:r w:rsidR="005A26D8" w:rsidRPr="00731273">
        <w:t xml:space="preserve"> </w:t>
      </w:r>
      <w:r w:rsidR="005A26D8">
        <w:rPr>
          <w:noProof/>
        </w:rPr>
        <w:t>10</w:t>
      </w:r>
      <w:r>
        <w:fldChar w:fldCharType="end"/>
      </w:r>
      <w:r>
        <w:t>, there is a difference in the amount of overheads introduced by normal vs extended CPs. Hence, even under the same operating SINR, the throughput of a link with extended CP is 15% lower than that with normal CP.</w:t>
      </w:r>
    </w:p>
    <w:p w14:paraId="4D848615" w14:textId="77777777" w:rsidR="008A2C71" w:rsidRPr="00EA0A41" w:rsidRDefault="008A2C71" w:rsidP="008A2C71">
      <w:pPr>
        <w:pStyle w:val="BodyText"/>
      </w:pPr>
      <w:r w:rsidRPr="007D58F6">
        <w:rPr>
          <w:noProof/>
        </w:rPr>
        <w:drawing>
          <wp:inline distT="0" distB="0" distL="0" distR="0" wp14:anchorId="1D33DD76" wp14:editId="69C3C125">
            <wp:extent cx="2926080" cy="21945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5A0BF9">
        <w:t xml:space="preserve"> </w:t>
      </w:r>
      <w:r w:rsidRPr="005A0BF9">
        <w:rPr>
          <w:noProof/>
        </w:rPr>
        <w:drawing>
          <wp:inline distT="0" distB="0" distL="0" distR="0" wp14:anchorId="15D59B02" wp14:editId="3EA86B27">
            <wp:extent cx="2926080" cy="21945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7018ABF7" w14:textId="7A930CBB" w:rsidR="008A2C71" w:rsidRPr="004370BD" w:rsidRDefault="008A2C71" w:rsidP="008A2C71">
      <w:pPr>
        <w:pStyle w:val="TF"/>
        <w:keepNext/>
        <w:rPr>
          <w:lang w:val="en-US"/>
        </w:rPr>
      </w:pPr>
      <w:bookmarkStart w:id="13" w:name="_Ref39584553"/>
      <w:r>
        <w:rPr>
          <w:lang w:val="en-US"/>
        </w:rPr>
        <w:t>Figure</w:t>
      </w:r>
      <w:r w:rsidRPr="00CE0424">
        <w:t xml:space="preserve"> </w:t>
      </w:r>
      <w:r>
        <w:fldChar w:fldCharType="begin"/>
      </w:r>
      <w:r>
        <w:instrText xml:space="preserve"> SEQ Figure \* ARABIC </w:instrText>
      </w:r>
      <w:r>
        <w:fldChar w:fldCharType="separate"/>
      </w:r>
      <w:r w:rsidR="005A26D8">
        <w:rPr>
          <w:noProof/>
        </w:rPr>
        <w:t>12</w:t>
      </w:r>
      <w:r>
        <w:rPr>
          <w:noProof/>
        </w:rPr>
        <w:fldChar w:fldCharType="end"/>
      </w:r>
      <w:bookmarkEnd w:id="13"/>
      <w:r w:rsidRPr="00CE0424">
        <w:t>:</w:t>
      </w:r>
      <w:r>
        <w:rPr>
          <w:lang w:val="en-US"/>
        </w:rPr>
        <w:t xml:space="preserve"> Signal-to-ISI ratios for 1920 kHz SCS with extended CP in Indoor or </w:t>
      </w:r>
      <w:proofErr w:type="spellStart"/>
      <w:r>
        <w:rPr>
          <w:lang w:val="en-US"/>
        </w:rPr>
        <w:t>UMi</w:t>
      </w:r>
      <w:proofErr w:type="spellEnd"/>
      <w:r>
        <w:rPr>
          <w:lang w:val="en-US"/>
        </w:rPr>
        <w:t xml:space="preserve"> CDL-B channels.</w:t>
      </w:r>
    </w:p>
    <w:p w14:paraId="4ECB0742" w14:textId="77777777" w:rsidR="002E600B" w:rsidRDefault="002E600B" w:rsidP="002E600B">
      <w:pPr>
        <w:pStyle w:val="BodyText"/>
      </w:pPr>
    </w:p>
    <w:p w14:paraId="7D8A28D9" w14:textId="77777777" w:rsidR="008A2C71" w:rsidRDefault="008A2C71" w:rsidP="008A2C71">
      <w:pPr>
        <w:pStyle w:val="Heading2"/>
      </w:pPr>
      <w:r>
        <w:t>4.4</w:t>
      </w:r>
      <w:r>
        <w:tab/>
        <w:t>RF impairments including phase noise handling</w:t>
      </w:r>
    </w:p>
    <w:p w14:paraId="384E126E" w14:textId="33184D14" w:rsidR="008A2C71" w:rsidRDefault="008A2C71" w:rsidP="008A2C71">
      <w:pPr>
        <w:pStyle w:val="BodyText"/>
      </w:pPr>
      <w:r>
        <w:t xml:space="preserve">In the study for NR mm-wave frequencies, phase noise was identified as one important </w:t>
      </w:r>
      <w:r w:rsidR="000D49B3">
        <w:t xml:space="preserve">factor </w:t>
      </w:r>
      <w:r>
        <w:t xml:space="preserve">to consider </w:t>
      </w:r>
      <w:r w:rsidR="007C180A">
        <w:t xml:space="preserve">in </w:t>
      </w:r>
      <w:r>
        <w:t xml:space="preserve">the </w:t>
      </w:r>
      <w:r w:rsidR="007C180A">
        <w:t xml:space="preserve">selection of </w:t>
      </w:r>
      <w:r w:rsidR="00F62D74">
        <w:t xml:space="preserve">subcarrier spacing </w:t>
      </w:r>
      <w:r w:rsidR="00AD2FE6">
        <w:t>that maximi</w:t>
      </w:r>
      <w:r w:rsidR="00546469">
        <w:t>zes the</w:t>
      </w:r>
      <w:r w:rsidR="009876C0">
        <w:t xml:space="preserve"> </w:t>
      </w:r>
      <w:r w:rsidR="000437A2">
        <w:t>achievable</w:t>
      </w:r>
      <w:r>
        <w:t xml:space="preserve"> signal quality </w:t>
      </w:r>
      <w:r>
        <w:fldChar w:fldCharType="begin"/>
      </w:r>
      <w:r>
        <w:instrText xml:space="preserve"> REF _Ref39673732 \r \h </w:instrText>
      </w:r>
      <w:r>
        <w:fldChar w:fldCharType="separate"/>
      </w:r>
      <w:r w:rsidR="005A26D8">
        <w:t>[8]</w:t>
      </w:r>
      <w:r>
        <w:fldChar w:fldCharType="end"/>
      </w:r>
      <w:r>
        <w:t>. The report identified that different transceiver designs may exhibit different phase noise characteristics. There are three options: (1) c</w:t>
      </w:r>
      <w:r w:rsidRPr="004D3B1E">
        <w:t>entralized LO generation with a single PLL for all transceivers</w:t>
      </w:r>
      <w:r>
        <w:t>; (2) d</w:t>
      </w:r>
      <w:r w:rsidRPr="004D3B1E">
        <w:t>istributed LO generation with one PLL per transceiver</w:t>
      </w:r>
      <w:r>
        <w:t xml:space="preserve">; and (3) </w:t>
      </w:r>
      <w:r w:rsidRPr="007849B1">
        <w:t xml:space="preserve">semi-distributed LO generation </w:t>
      </w:r>
      <w:r>
        <w:t xml:space="preserve">where </w:t>
      </w:r>
      <w:r w:rsidRPr="007849B1">
        <w:t>the phase noise as seen by respective transceiver will be partially uncorrelated between groups of transceivers and fully correlated within the group</w:t>
      </w:r>
      <w:r>
        <w:t>.</w:t>
      </w:r>
    </w:p>
    <w:p w14:paraId="2625DAB5" w14:textId="61507E83" w:rsidR="008A2C71" w:rsidRDefault="008A2C71" w:rsidP="008A2C71">
      <w:pPr>
        <w:pStyle w:val="BodyText"/>
      </w:pPr>
      <w:r>
        <w:t xml:space="preserve">Since phase noise generally increases by 6 dB when carrier frequency doubles, impacts of phase noise on NR operations in the 52.6 – 71 GHz range can be expected to be more pronounced than those on NR operations in the FR2. The presence of phase noise </w:t>
      </w:r>
      <w:r w:rsidR="003D2177">
        <w:t xml:space="preserve">can </w:t>
      </w:r>
      <w:r>
        <w:t>cause two types of impairments to an OFDM signal: (1) a common random phase rotation on each subcarrier; and (2) inter-carrier interference between subcarriers. Different SCS sizes affect the relative strengths of these two types of impairments. In general, a large SCS tends to reduce the level of inter-carrier interference experience by the OFDM signal.</w:t>
      </w:r>
      <w:r w:rsidR="00922811">
        <w:t xml:space="preserve"> However, a large SCS also </w:t>
      </w:r>
      <w:r w:rsidR="007A7555">
        <w:t xml:space="preserve">tends </w:t>
      </w:r>
      <w:r w:rsidR="00E9376F">
        <w:t xml:space="preserve">to </w:t>
      </w:r>
      <w:r w:rsidR="007A7555">
        <w:t xml:space="preserve">suffer more performance losses from channel dispersion. </w:t>
      </w:r>
      <w:r w:rsidR="00331B49">
        <w:t xml:space="preserve">It is hence important to evaluate both impacts on the link performance under realistic </w:t>
      </w:r>
      <w:r w:rsidR="00673577">
        <w:t>system parameters and scenarios.</w:t>
      </w:r>
    </w:p>
    <w:p w14:paraId="59C8A3CA" w14:textId="191BA4C7" w:rsidR="00C2780F" w:rsidRDefault="00673577" w:rsidP="008A2C71">
      <w:pPr>
        <w:pStyle w:val="BodyText"/>
      </w:pPr>
      <w:r>
        <w:t xml:space="preserve">To this end, we </w:t>
      </w:r>
      <w:r w:rsidR="00312A34" w:rsidRPr="00EA0A41">
        <w:t xml:space="preserve">performed extensive </w:t>
      </w:r>
      <w:r w:rsidR="00312A34">
        <w:t xml:space="preserve">link performance </w:t>
      </w:r>
      <w:r w:rsidR="00312A34" w:rsidRPr="00EA0A41">
        <w:t>evaluation</w:t>
      </w:r>
      <w:r w:rsidR="00312A34">
        <w:t>s</w:t>
      </w:r>
      <w:r w:rsidR="00312A34" w:rsidRPr="00EA0A41">
        <w:t xml:space="preserve"> on the range of channel realizations using </w:t>
      </w:r>
      <w:r w:rsidR="00312A34">
        <w:t xml:space="preserve">the </w:t>
      </w:r>
      <w:r w:rsidR="00312A34" w:rsidRPr="00EA0A41">
        <w:t xml:space="preserve">3GPP indoor and urban micro channel models in </w:t>
      </w:r>
      <w:r w:rsidR="00312A34">
        <w:fldChar w:fldCharType="begin"/>
      </w:r>
      <w:r w:rsidR="00312A34" w:rsidRPr="00EA0A41">
        <w:instrText xml:space="preserve"> REF _Ref39243485 \r \h </w:instrText>
      </w:r>
      <w:r w:rsidR="00312A34">
        <w:fldChar w:fldCharType="separate"/>
      </w:r>
      <w:r w:rsidR="005A26D8">
        <w:t>[4]</w:t>
      </w:r>
      <w:r w:rsidR="00312A34">
        <w:fldChar w:fldCharType="end"/>
      </w:r>
      <w:r w:rsidR="00312A34" w:rsidRPr="00EA0A41">
        <w:t xml:space="preserve">. Further details of the evaluation can be found in </w:t>
      </w:r>
      <w:r w:rsidR="005D23A8">
        <w:t xml:space="preserve">Annex A and </w:t>
      </w:r>
      <w:r w:rsidR="00312A34" w:rsidRPr="00EA0A41">
        <w:t xml:space="preserve">Annex </w:t>
      </w:r>
      <w:r w:rsidR="005D23A8">
        <w:t>B</w:t>
      </w:r>
      <w:r w:rsidR="00312A34" w:rsidRPr="00EA0A41">
        <w:t xml:space="preserve">. </w:t>
      </w:r>
      <w:r w:rsidR="00312A34">
        <w:t>We follow the U</w:t>
      </w:r>
      <w:r w:rsidR="00312A34" w:rsidRPr="00EA0A41">
        <w:t xml:space="preserve">rban </w:t>
      </w:r>
      <w:r w:rsidR="00312A34">
        <w:t>M</w:t>
      </w:r>
      <w:r w:rsidR="00312A34" w:rsidRPr="00EA0A41">
        <w:t>icro (</w:t>
      </w:r>
      <w:proofErr w:type="spellStart"/>
      <w:r w:rsidR="00312A34" w:rsidRPr="00EA0A41">
        <w:t>UMi</w:t>
      </w:r>
      <w:proofErr w:type="spellEnd"/>
      <w:r w:rsidR="00312A34" w:rsidRPr="00EA0A41">
        <w:t>)</w:t>
      </w:r>
      <w:r w:rsidR="00312A34">
        <w:t xml:space="preserve"> s</w:t>
      </w:r>
      <w:r w:rsidR="00312A34" w:rsidRPr="00EA0A41">
        <w:t xml:space="preserve">treet </w:t>
      </w:r>
      <w:r w:rsidR="00312A34">
        <w:t>c</w:t>
      </w:r>
      <w:r w:rsidR="00312A34" w:rsidRPr="00EA0A41">
        <w:t xml:space="preserve">anyon and Indoor Office </w:t>
      </w:r>
      <w:r w:rsidR="00312A34">
        <w:t xml:space="preserve">scenarios as </w:t>
      </w:r>
      <w:r w:rsidR="00312A34" w:rsidRPr="00EA0A41">
        <w:t>parameteriz</w:t>
      </w:r>
      <w:r w:rsidR="00312A34">
        <w:t>ed</w:t>
      </w:r>
      <w:r w:rsidR="00312A34" w:rsidRPr="00EA0A41">
        <w:t xml:space="preserve"> in Sec. 7.2 of </w:t>
      </w:r>
      <w:r w:rsidR="00312A34">
        <w:fldChar w:fldCharType="begin"/>
      </w:r>
      <w:r w:rsidR="00312A34" w:rsidRPr="00EA0A41">
        <w:instrText xml:space="preserve"> REF _Ref39243485 \r \h </w:instrText>
      </w:r>
      <w:r w:rsidR="00312A34">
        <w:fldChar w:fldCharType="separate"/>
      </w:r>
      <w:r w:rsidR="005A26D8">
        <w:t>[4]</w:t>
      </w:r>
      <w:r w:rsidR="00312A34">
        <w:fldChar w:fldCharType="end"/>
      </w:r>
      <w:r w:rsidR="00312A34" w:rsidRPr="00EA0A41">
        <w:t>.</w:t>
      </w:r>
      <w:r w:rsidR="00312A34">
        <w:t xml:space="preserve"> </w:t>
      </w:r>
      <w:r w:rsidR="00312A34" w:rsidRPr="00EA0A41">
        <w:t>We use the channel model CDL-D to evaluate channels under LOS conditions, and the channel model CDL-B to evaluate channels under NLOS conditions.</w:t>
      </w:r>
      <w:r w:rsidR="00312A34">
        <w:t xml:space="preserve"> </w:t>
      </w:r>
      <w:r w:rsidR="00FB211D">
        <w:t>We consider system bandwidth of 400 MHz and 2 GHz</w:t>
      </w:r>
      <w:r w:rsidR="004564BD">
        <w:t xml:space="preserve">. </w:t>
      </w:r>
      <w:r w:rsidR="00BD564D">
        <w:t>The study consider</w:t>
      </w:r>
      <w:r w:rsidR="006A2471">
        <w:t>s</w:t>
      </w:r>
      <w:r w:rsidR="00BD564D">
        <w:t xml:space="preserve"> QPSK, 16QAM and 64QAM</w:t>
      </w:r>
      <w:r w:rsidR="00FD7859">
        <w:t>, all with an LDPC code rate of 2/3.</w:t>
      </w:r>
      <w:r w:rsidR="00C939E4">
        <w:t xml:space="preserve"> </w:t>
      </w:r>
      <w:r w:rsidR="00D206DD">
        <w:t xml:space="preserve">We plot the BLER results </w:t>
      </w:r>
      <w:r w:rsidR="00311035">
        <w:t xml:space="preserve">for </w:t>
      </w:r>
      <w:r w:rsidR="00B179DE">
        <w:t xml:space="preserve">the Indoor Office scenario </w:t>
      </w:r>
      <w:r w:rsidR="00D206DD">
        <w:t xml:space="preserve">in </w:t>
      </w:r>
      <w:r w:rsidR="00B179DE">
        <w:fldChar w:fldCharType="begin"/>
      </w:r>
      <w:r w:rsidR="00B179DE">
        <w:instrText xml:space="preserve"> REF _Ref40356536 \h </w:instrText>
      </w:r>
      <w:r w:rsidR="00B179DE">
        <w:fldChar w:fldCharType="separate"/>
      </w:r>
      <w:r w:rsidR="005A26D8" w:rsidRPr="00F12222">
        <w:t xml:space="preserve">Figure </w:t>
      </w:r>
      <w:r w:rsidR="005A26D8">
        <w:rPr>
          <w:noProof/>
        </w:rPr>
        <w:t>13</w:t>
      </w:r>
      <w:r w:rsidR="00B179DE">
        <w:fldChar w:fldCharType="end"/>
      </w:r>
      <w:r w:rsidR="00B179DE">
        <w:t>.</w:t>
      </w:r>
      <w:r w:rsidR="00715AC8">
        <w:t xml:space="preserve"> </w:t>
      </w:r>
      <w:r w:rsidR="002F5469">
        <w:t xml:space="preserve">The BLER results for the </w:t>
      </w:r>
      <w:proofErr w:type="spellStart"/>
      <w:r w:rsidR="002F5469">
        <w:t>UMi</w:t>
      </w:r>
      <w:proofErr w:type="spellEnd"/>
      <w:r w:rsidR="002F5469">
        <w:t xml:space="preserve"> scenario</w:t>
      </w:r>
      <w:r w:rsidR="00A740CD">
        <w:t xml:space="preserve"> with </w:t>
      </w:r>
      <w:r w:rsidR="00A66792">
        <w:t xml:space="preserve">two different </w:t>
      </w:r>
      <w:r w:rsidR="00F64C2E">
        <w:t xml:space="preserve">beamforming array setup assumptions are plotted in </w:t>
      </w:r>
      <w:r w:rsidR="00F64C2E">
        <w:fldChar w:fldCharType="begin"/>
      </w:r>
      <w:r w:rsidR="00F64C2E">
        <w:instrText xml:space="preserve"> REF _Ref40356645 \h </w:instrText>
      </w:r>
      <w:r w:rsidR="00F64C2E">
        <w:fldChar w:fldCharType="separate"/>
      </w:r>
      <w:r w:rsidR="005A26D8" w:rsidRPr="00F12222">
        <w:t xml:space="preserve">Figure </w:t>
      </w:r>
      <w:r w:rsidR="005A26D8">
        <w:rPr>
          <w:noProof/>
        </w:rPr>
        <w:t>14</w:t>
      </w:r>
      <w:r w:rsidR="00F64C2E">
        <w:fldChar w:fldCharType="end"/>
      </w:r>
      <w:r w:rsidR="00F64C2E">
        <w:t xml:space="preserve"> and </w:t>
      </w:r>
      <w:r w:rsidR="00F64C2E">
        <w:fldChar w:fldCharType="begin"/>
      </w:r>
      <w:r w:rsidR="00F64C2E">
        <w:instrText xml:space="preserve"> REF _Ref40356653 \h </w:instrText>
      </w:r>
      <w:r w:rsidR="00F64C2E">
        <w:fldChar w:fldCharType="separate"/>
      </w:r>
      <w:r w:rsidR="005A26D8" w:rsidRPr="00F12222">
        <w:t xml:space="preserve">Figure </w:t>
      </w:r>
      <w:r w:rsidR="005A26D8">
        <w:rPr>
          <w:noProof/>
        </w:rPr>
        <w:t>15</w:t>
      </w:r>
      <w:r w:rsidR="00F64C2E">
        <w:fldChar w:fldCharType="end"/>
      </w:r>
      <w:r w:rsidR="00F64C2E">
        <w:t>.</w:t>
      </w:r>
      <w:r w:rsidR="006A2471">
        <w:t xml:space="preserve"> </w:t>
      </w:r>
      <w:r w:rsidR="00C34D65">
        <w:t>The p</w:t>
      </w:r>
      <w:r w:rsidR="00406F98">
        <w:t xml:space="preserve">erformance </w:t>
      </w:r>
      <w:r w:rsidR="00C34D65">
        <w:t xml:space="preserve">results for </w:t>
      </w:r>
      <w:r w:rsidR="00406F98">
        <w:t>QPSK, 16QAM and 64QAM</w:t>
      </w:r>
      <w:r w:rsidR="00827DB4">
        <w:t xml:space="preserve"> are plotted with blue, black</w:t>
      </w:r>
      <w:r w:rsidR="005F59FC">
        <w:t>,</w:t>
      </w:r>
      <w:r w:rsidR="00902C9B">
        <w:t xml:space="preserve"> and red curves, respectively.</w:t>
      </w:r>
      <w:r w:rsidR="00B612DC">
        <w:t xml:space="preserve"> </w:t>
      </w:r>
      <w:r w:rsidR="008C23C7">
        <w:t>The phase tracking reference si</w:t>
      </w:r>
      <w:r w:rsidR="00BC1672">
        <w:t xml:space="preserve">gnal </w:t>
      </w:r>
      <w:r w:rsidR="00D42527">
        <w:t>(PTR</w:t>
      </w:r>
      <w:r w:rsidR="00155279">
        <w:t>S</w:t>
      </w:r>
      <w:r w:rsidR="00D42527">
        <w:t>)</w:t>
      </w:r>
      <w:r w:rsidR="00BC1672">
        <w:t xml:space="preserve"> is Rel-1</w:t>
      </w:r>
      <w:r w:rsidR="00D42527">
        <w:t>5 PTRS</w:t>
      </w:r>
      <w:r w:rsidR="00155279">
        <w:t xml:space="preserve"> and common phase </w:t>
      </w:r>
      <w:r w:rsidR="00F6381A">
        <w:t>error compensation</w:t>
      </w:r>
      <w:r w:rsidR="00B73D6B">
        <w:t xml:space="preserve"> </w:t>
      </w:r>
      <w:r w:rsidR="008337EE">
        <w:t xml:space="preserve">(CPE) is </w:t>
      </w:r>
      <w:r w:rsidR="00722AF6">
        <w:t xml:space="preserve">performed. </w:t>
      </w:r>
    </w:p>
    <w:p w14:paraId="1B004146" w14:textId="5B365E73" w:rsidR="00C7216F" w:rsidRDefault="00535BB0" w:rsidP="008A2C71">
      <w:pPr>
        <w:pStyle w:val="BodyText"/>
      </w:pPr>
      <w:r>
        <w:t xml:space="preserve">For the LOS </w:t>
      </w:r>
      <w:r w:rsidR="001C0EA3">
        <w:t xml:space="preserve">CDL-D </w:t>
      </w:r>
      <w:r>
        <w:t xml:space="preserve">cases, </w:t>
      </w:r>
      <w:r w:rsidR="00D55588">
        <w:t xml:space="preserve">we observed that </w:t>
      </w:r>
      <w:r w:rsidR="007167B9">
        <w:t xml:space="preserve">performance of </w:t>
      </w:r>
      <w:r w:rsidR="00D55588">
        <w:t xml:space="preserve">a carrier with </w:t>
      </w:r>
      <w:r w:rsidR="00D87831">
        <w:t xml:space="preserve">3840 kHz SCS </w:t>
      </w:r>
      <w:r w:rsidR="007167B9">
        <w:t xml:space="preserve">is hitting an error floor </w:t>
      </w:r>
      <w:r w:rsidR="00641582">
        <w:t xml:space="preserve">at around 10% BLER </w:t>
      </w:r>
      <w:r w:rsidR="00EB2BCC">
        <w:t xml:space="preserve">for both indoor and </w:t>
      </w:r>
      <w:proofErr w:type="spellStart"/>
      <w:r w:rsidR="00EB2BCC">
        <w:t>UMi</w:t>
      </w:r>
      <w:proofErr w:type="spellEnd"/>
      <w:r w:rsidR="00EB2BCC">
        <w:t xml:space="preserve"> scenarios </w:t>
      </w:r>
      <w:r w:rsidR="00824E9C">
        <w:t>with a 4x8 gNB array and 2x2 UE array</w:t>
      </w:r>
      <w:r w:rsidR="0008791B">
        <w:t xml:space="preserve"> </w:t>
      </w:r>
      <w:r w:rsidR="00F51F16">
        <w:t xml:space="preserve">per polarization. </w:t>
      </w:r>
      <w:r w:rsidR="001C026F">
        <w:t xml:space="preserve">The error floor is reduced to around 2% BLER if </w:t>
      </w:r>
      <w:r w:rsidR="008D704E">
        <w:t xml:space="preserve">much bigger arrays </w:t>
      </w:r>
      <w:r w:rsidR="00016596">
        <w:t>(8x16 gNB array and 4x4 UE array per polarization</w:t>
      </w:r>
      <w:r w:rsidR="00E379B8">
        <w:t xml:space="preserve">) </w:t>
      </w:r>
      <w:r w:rsidR="00FB41CF">
        <w:t>are assumed.</w:t>
      </w:r>
      <w:r w:rsidR="005567A0">
        <w:t xml:space="preserve"> </w:t>
      </w:r>
      <w:r w:rsidR="00AC5438">
        <w:t xml:space="preserve">The link performance of </w:t>
      </w:r>
      <w:r w:rsidR="0047187A">
        <w:t xml:space="preserve">960 kHz </w:t>
      </w:r>
      <w:r w:rsidR="00D830B9">
        <w:t>SCS</w:t>
      </w:r>
      <w:r w:rsidR="0047187A">
        <w:t xml:space="preserve"> </w:t>
      </w:r>
      <w:r w:rsidR="00E0002A">
        <w:t xml:space="preserve">is generally similar </w:t>
      </w:r>
      <w:r w:rsidR="00D830B9">
        <w:t xml:space="preserve">to that of 1920 kHz SCS </w:t>
      </w:r>
      <w:r w:rsidR="00E0002A">
        <w:t xml:space="preserve">with </w:t>
      </w:r>
      <w:r w:rsidR="00443277">
        <w:t>the 960 kHz SCS outperform</w:t>
      </w:r>
      <w:r w:rsidR="006A18CF">
        <w:t>ing</w:t>
      </w:r>
      <w:r w:rsidR="00443277">
        <w:t xml:space="preserve"> slightly across all three </w:t>
      </w:r>
      <w:r w:rsidR="00424420">
        <w:t xml:space="preserve">evaluation </w:t>
      </w:r>
      <w:r w:rsidR="005E1738">
        <w:t>scenario</w:t>
      </w:r>
      <w:r w:rsidR="00A74D92">
        <w:t>s</w:t>
      </w:r>
      <w:r w:rsidR="005E1738">
        <w:t xml:space="preserve"> and </w:t>
      </w:r>
      <w:r w:rsidR="00424420">
        <w:t>setups.</w:t>
      </w:r>
      <w:r w:rsidR="00733CA3">
        <w:t xml:space="preserve"> </w:t>
      </w:r>
      <w:r w:rsidR="00303945">
        <w:t xml:space="preserve">The performance of 480 kHz SCS </w:t>
      </w:r>
      <w:r w:rsidR="0021286A">
        <w:t xml:space="preserve">at 10% BLER </w:t>
      </w:r>
      <w:r w:rsidR="003315C3">
        <w:t xml:space="preserve">is around </w:t>
      </w:r>
      <w:r w:rsidR="006B2313">
        <w:t xml:space="preserve">1 </w:t>
      </w:r>
      <w:r w:rsidR="00F56D1F">
        <w:t>to</w:t>
      </w:r>
      <w:r w:rsidR="006B2313">
        <w:t xml:space="preserve"> </w:t>
      </w:r>
      <w:r w:rsidR="003315C3">
        <w:t>1.5 dB wo</w:t>
      </w:r>
      <w:r w:rsidR="0021286A">
        <w:t xml:space="preserve">rse than that of </w:t>
      </w:r>
      <w:r w:rsidR="00A325BD">
        <w:t>the 960 kHz SCS.</w:t>
      </w:r>
    </w:p>
    <w:p w14:paraId="32565470" w14:textId="250ECE74" w:rsidR="001E53F9" w:rsidRDefault="001C0EA3" w:rsidP="008A2C71">
      <w:pPr>
        <w:pStyle w:val="BodyText"/>
      </w:pPr>
      <w:r>
        <w:lastRenderedPageBreak/>
        <w:t xml:space="preserve">For the </w:t>
      </w:r>
      <w:r w:rsidR="00FE3DC8">
        <w:t xml:space="preserve">indoor office </w:t>
      </w:r>
      <w:r>
        <w:t>CDL-B cases, we observed</w:t>
      </w:r>
      <w:r w:rsidR="00D5354F">
        <w:t xml:space="preserve"> the link generally requires higher operating SNR than </w:t>
      </w:r>
      <w:r w:rsidR="001E3576">
        <w:t>for the CDL-</w:t>
      </w:r>
      <w:r w:rsidR="00691AAB">
        <w:t xml:space="preserve">D </w:t>
      </w:r>
      <w:r w:rsidR="001E3576">
        <w:t>cases.</w:t>
      </w:r>
      <w:r w:rsidR="000353F4">
        <w:t xml:space="preserve"> B</w:t>
      </w:r>
      <w:r w:rsidR="00373C0A">
        <w:t>est link performance is obtained with 960 kHz SCS</w:t>
      </w:r>
      <w:r w:rsidR="00E90E3C">
        <w:t xml:space="preserve">. </w:t>
      </w:r>
      <w:r w:rsidR="00495E91">
        <w:t xml:space="preserve">For 64QAM, only </w:t>
      </w:r>
      <w:r w:rsidR="008F3171">
        <w:t xml:space="preserve">960 kHz and </w:t>
      </w:r>
      <w:r w:rsidR="009E0CF7">
        <w:t xml:space="preserve">480 kHz SCSs </w:t>
      </w:r>
      <w:r w:rsidR="00DA3987">
        <w:t xml:space="preserve">provide useable </w:t>
      </w:r>
      <w:r w:rsidR="00B72F57">
        <w:t>data transfer link</w:t>
      </w:r>
      <w:r w:rsidR="007A3D0B">
        <w:t xml:space="preserve">. For all other larger or small SCSs, BLER </w:t>
      </w:r>
      <w:r w:rsidR="00D74F16">
        <w:t xml:space="preserve">floor </w:t>
      </w:r>
      <w:r w:rsidR="002821D2">
        <w:t xml:space="preserve">of </w:t>
      </w:r>
      <w:r w:rsidR="00D74F16">
        <w:t xml:space="preserve">about 10% can be observed. </w:t>
      </w:r>
      <w:r w:rsidR="00611134">
        <w:t>Note that</w:t>
      </w:r>
      <w:r w:rsidR="00B34C54">
        <w:t xml:space="preserve"> a </w:t>
      </w:r>
      <w:r w:rsidR="00B711FC">
        <w:t xml:space="preserve">BLER error </w:t>
      </w:r>
      <w:r w:rsidR="00E80DF7">
        <w:t xml:space="preserve">floor </w:t>
      </w:r>
      <w:r w:rsidR="00B34C54">
        <w:t xml:space="preserve">is emerging </w:t>
      </w:r>
      <w:r w:rsidR="00B96C71">
        <w:t xml:space="preserve">with CDL-B </w:t>
      </w:r>
      <w:r w:rsidR="00571F67">
        <w:t>even for the 16QAM modulation when using 3840 kHz SCS.</w:t>
      </w:r>
    </w:p>
    <w:p w14:paraId="1154CB20" w14:textId="25757C69" w:rsidR="00FE3DC8" w:rsidRDefault="00FE3DC8" w:rsidP="008A2C71">
      <w:pPr>
        <w:pStyle w:val="BodyText"/>
      </w:pPr>
      <w:r>
        <w:t xml:space="preserve">For the </w:t>
      </w:r>
      <w:proofErr w:type="spellStart"/>
      <w:r w:rsidR="00877D9D">
        <w:t>UMi</w:t>
      </w:r>
      <w:proofErr w:type="spellEnd"/>
      <w:r w:rsidR="00877D9D">
        <w:t xml:space="preserve"> CDL-B cases, </w:t>
      </w:r>
      <w:r w:rsidR="00BD1EF6">
        <w:t xml:space="preserve">high BLER </w:t>
      </w:r>
      <w:r w:rsidR="008128E0">
        <w:t xml:space="preserve">renders the 64QAM </w:t>
      </w:r>
      <w:r w:rsidR="00F4399F">
        <w:t xml:space="preserve">modulation </w:t>
      </w:r>
      <w:r w:rsidR="00DD2076">
        <w:t xml:space="preserve">unusable except perhaps </w:t>
      </w:r>
      <w:r w:rsidR="007855ED">
        <w:t xml:space="preserve">for </w:t>
      </w:r>
      <w:r w:rsidR="00876F87">
        <w:t>480 kHz SCS with very large array assumptions on both gNB and UE sides.</w:t>
      </w:r>
      <w:r w:rsidR="00F4399F">
        <w:t xml:space="preserve"> For the 16QAM </w:t>
      </w:r>
      <w:r w:rsidR="00053502">
        <w:t xml:space="preserve">and QPSK </w:t>
      </w:r>
      <w:r w:rsidR="00F4399F">
        <w:t>modulation</w:t>
      </w:r>
      <w:r w:rsidR="00053502">
        <w:t>s</w:t>
      </w:r>
      <w:r w:rsidR="00F4399F">
        <w:t xml:space="preserve">, </w:t>
      </w:r>
      <w:r w:rsidR="00AC3A7C">
        <w:t xml:space="preserve">best link performance is obtained with </w:t>
      </w:r>
      <w:r w:rsidR="00EB5C7D">
        <w:t>48</w:t>
      </w:r>
      <w:r w:rsidR="00FF00BF">
        <w:t>0 kHz SCS</w:t>
      </w:r>
      <w:r w:rsidR="00421AD4">
        <w:t xml:space="preserve">. Performance of 960 kHz SCS is </w:t>
      </w:r>
      <w:r w:rsidR="003C50E4">
        <w:t xml:space="preserve">1 to 2 dB </w:t>
      </w:r>
      <w:r w:rsidR="000A73CF">
        <w:t xml:space="preserve">worse at 10% </w:t>
      </w:r>
      <w:r w:rsidR="00A8077A">
        <w:t xml:space="preserve">operation </w:t>
      </w:r>
      <w:r w:rsidR="000A73CF">
        <w:t>BLER.</w:t>
      </w:r>
      <w:r w:rsidR="00A8077A">
        <w:t xml:space="preserve"> </w:t>
      </w:r>
      <w:r w:rsidR="00C76E27">
        <w:t xml:space="preserve">Using SCSs larger 960 kHz </w:t>
      </w:r>
      <w:r w:rsidR="00185F25">
        <w:t xml:space="preserve">results </w:t>
      </w:r>
      <w:r w:rsidR="00DD2E37">
        <w:t xml:space="preserve">in </w:t>
      </w:r>
      <w:r w:rsidR="001660ED">
        <w:t>substantially worse link performance.</w:t>
      </w:r>
    </w:p>
    <w:p w14:paraId="5C5AD326" w14:textId="77777777" w:rsidR="00271384" w:rsidRDefault="00271384" w:rsidP="008A2C71">
      <w:pPr>
        <w:pStyle w:val="BodyText"/>
      </w:pPr>
    </w:p>
    <w:p w14:paraId="094C51F9" w14:textId="3CEE9983" w:rsidR="008A2C71" w:rsidRPr="00B9791B" w:rsidRDefault="008C5A20" w:rsidP="00FB6421">
      <w:pPr>
        <w:pStyle w:val="BodyText"/>
        <w:keepNext/>
        <w:jc w:val="center"/>
      </w:pPr>
      <w:r>
        <w:rPr>
          <w:noProof/>
        </w:rPr>
        <w:drawing>
          <wp:inline distT="0" distB="0" distL="0" distR="0" wp14:anchorId="276255FB" wp14:editId="02894119">
            <wp:extent cx="2926080" cy="219456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E52588">
        <w:rPr>
          <w:noProof/>
        </w:rPr>
        <w:drawing>
          <wp:inline distT="0" distB="0" distL="0" distR="0" wp14:anchorId="5469E83D" wp14:editId="7DFF4C37">
            <wp:extent cx="2957148" cy="21945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57148" cy="2194560"/>
                    </a:xfrm>
                    <a:prstGeom prst="rect">
                      <a:avLst/>
                    </a:prstGeom>
                    <a:noFill/>
                    <a:ln>
                      <a:noFill/>
                    </a:ln>
                  </pic:spPr>
                </pic:pic>
              </a:graphicData>
            </a:graphic>
          </wp:inline>
        </w:drawing>
      </w:r>
    </w:p>
    <w:p w14:paraId="4FF16D56" w14:textId="4E20CBB0" w:rsidR="008A2C71" w:rsidRPr="00FB6421" w:rsidRDefault="008A2C71" w:rsidP="00FB6421">
      <w:pPr>
        <w:pStyle w:val="TF"/>
        <w:keepLines w:val="0"/>
        <w:jc w:val="both"/>
        <w:rPr>
          <w:lang w:val="en-US"/>
        </w:rPr>
      </w:pPr>
      <w:bookmarkStart w:id="14" w:name="_Ref40356536"/>
      <w:r w:rsidRPr="00F12222">
        <w:rPr>
          <w:lang w:val="en-US"/>
        </w:rPr>
        <w:t xml:space="preserve">Figure </w:t>
      </w:r>
      <w:r w:rsidRPr="00F12222">
        <w:rPr>
          <w:lang w:val="en-US"/>
        </w:rPr>
        <w:fldChar w:fldCharType="begin"/>
      </w:r>
      <w:r w:rsidRPr="00F12222">
        <w:rPr>
          <w:lang w:val="en-US"/>
        </w:rPr>
        <w:instrText xml:space="preserve"> SEQ Figure \* ARABIC </w:instrText>
      </w:r>
      <w:r w:rsidRPr="00F12222">
        <w:rPr>
          <w:lang w:val="en-US"/>
        </w:rPr>
        <w:fldChar w:fldCharType="separate"/>
      </w:r>
      <w:r w:rsidR="005A26D8">
        <w:rPr>
          <w:noProof/>
          <w:lang w:val="en-US"/>
        </w:rPr>
        <w:t>13</w:t>
      </w:r>
      <w:r w:rsidRPr="00F12222">
        <w:rPr>
          <w:lang w:val="en-US"/>
        </w:rPr>
        <w:fldChar w:fldCharType="end"/>
      </w:r>
      <w:bookmarkEnd w:id="14"/>
      <w:r w:rsidRPr="00F12222">
        <w:rPr>
          <w:lang w:val="en-US"/>
        </w:rPr>
        <w:t xml:space="preserve">: BLER for Indoor office </w:t>
      </w:r>
      <w:r w:rsidR="00CD1F62">
        <w:rPr>
          <w:lang w:val="en-US"/>
        </w:rPr>
        <w:t xml:space="preserve">with 4x8 </w:t>
      </w:r>
      <w:r w:rsidRPr="00F12222">
        <w:rPr>
          <w:lang w:val="en-US"/>
        </w:rPr>
        <w:t>g</w:t>
      </w:r>
      <w:r w:rsidR="00FD7369">
        <w:rPr>
          <w:lang w:val="en-US"/>
        </w:rPr>
        <w:t>N</w:t>
      </w:r>
      <w:r w:rsidRPr="00F12222">
        <w:rPr>
          <w:lang w:val="en-US"/>
        </w:rPr>
        <w:t>B</w:t>
      </w:r>
      <w:r w:rsidR="00CD1F62">
        <w:rPr>
          <w:lang w:val="en-US"/>
        </w:rPr>
        <w:t xml:space="preserve"> and</w:t>
      </w:r>
      <w:r w:rsidRPr="00F12222">
        <w:rPr>
          <w:lang w:val="en-US"/>
        </w:rPr>
        <w:t xml:space="preserve"> </w:t>
      </w:r>
      <w:r w:rsidR="00CD1F62">
        <w:rPr>
          <w:lang w:val="en-US"/>
        </w:rPr>
        <w:t xml:space="preserve">2x2 </w:t>
      </w:r>
      <w:r w:rsidRPr="00F12222">
        <w:rPr>
          <w:lang w:val="en-US"/>
        </w:rPr>
        <w:t>UE</w:t>
      </w:r>
      <w:r w:rsidR="00CD1F62">
        <w:rPr>
          <w:lang w:val="en-US"/>
        </w:rPr>
        <w:t xml:space="preserve"> arrays per polarization (</w:t>
      </w:r>
      <w:r w:rsidR="00CD1F62">
        <w:t>performance results for QPSK, 16QAM and 64QAM are plotted with blue, black and red curves, respectively</w:t>
      </w:r>
      <w:r w:rsidR="00CD1F62">
        <w:rPr>
          <w:lang w:val="en-US"/>
        </w:rPr>
        <w:t>)</w:t>
      </w:r>
      <w:r w:rsidR="00FD7369">
        <w:rPr>
          <w:lang w:val="en-US"/>
        </w:rPr>
        <w:t>.</w:t>
      </w:r>
    </w:p>
    <w:p w14:paraId="7BFC58B3" w14:textId="13ED4D50" w:rsidR="008A2C71" w:rsidRPr="00B9791B" w:rsidRDefault="00AB3AD8" w:rsidP="00FB6421">
      <w:pPr>
        <w:pStyle w:val="BodyText"/>
        <w:keepNext/>
        <w:jc w:val="center"/>
      </w:pPr>
      <w:r>
        <w:rPr>
          <w:noProof/>
        </w:rPr>
        <w:drawing>
          <wp:inline distT="0" distB="0" distL="0" distR="0" wp14:anchorId="5D8BD615" wp14:editId="58A0DE5C">
            <wp:extent cx="2926080" cy="219456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1D70B4">
        <w:rPr>
          <w:noProof/>
        </w:rPr>
        <w:drawing>
          <wp:inline distT="0" distB="0" distL="0" distR="0" wp14:anchorId="11BBA592" wp14:editId="66CB8BA8">
            <wp:extent cx="2926080" cy="2194560"/>
            <wp:effectExtent l="0" t="0" r="7620" b="0"/>
            <wp:docPr id="130600289" name="Picture 130600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AE3D0C7" w14:textId="53895D1E" w:rsidR="008A2C71" w:rsidRPr="00F4189C" w:rsidRDefault="008A2C71" w:rsidP="00FB6421">
      <w:pPr>
        <w:pStyle w:val="TF"/>
        <w:keepLines w:val="0"/>
        <w:jc w:val="both"/>
      </w:pPr>
      <w:bookmarkStart w:id="15" w:name="_Ref40356645"/>
      <w:r w:rsidRPr="00F12222">
        <w:rPr>
          <w:lang w:val="en-US"/>
        </w:rPr>
        <w:t xml:space="preserve">Figure </w:t>
      </w:r>
      <w:r w:rsidRPr="00F12222">
        <w:rPr>
          <w:lang w:val="en-US"/>
        </w:rPr>
        <w:fldChar w:fldCharType="begin"/>
      </w:r>
      <w:r w:rsidRPr="00F12222">
        <w:rPr>
          <w:lang w:val="en-US"/>
        </w:rPr>
        <w:instrText xml:space="preserve"> SEQ Figure \* ARABIC </w:instrText>
      </w:r>
      <w:r w:rsidRPr="00F12222">
        <w:rPr>
          <w:lang w:val="en-US"/>
        </w:rPr>
        <w:fldChar w:fldCharType="separate"/>
      </w:r>
      <w:r w:rsidR="005A26D8">
        <w:rPr>
          <w:noProof/>
          <w:lang w:val="en-US"/>
        </w:rPr>
        <w:t>14</w:t>
      </w:r>
      <w:r w:rsidRPr="00F12222">
        <w:rPr>
          <w:lang w:val="en-US"/>
        </w:rPr>
        <w:fldChar w:fldCharType="end"/>
      </w:r>
      <w:bookmarkEnd w:id="15"/>
      <w:r w:rsidRPr="00F12222">
        <w:rPr>
          <w:lang w:val="en-US"/>
        </w:rPr>
        <w:t xml:space="preserve">: BLER for </w:t>
      </w:r>
      <w:proofErr w:type="spellStart"/>
      <w:r w:rsidRPr="00F12222">
        <w:rPr>
          <w:lang w:val="en-US"/>
        </w:rPr>
        <w:t>Umi</w:t>
      </w:r>
      <w:proofErr w:type="spellEnd"/>
      <w:r w:rsidRPr="00F12222">
        <w:rPr>
          <w:lang w:val="en-US"/>
        </w:rPr>
        <w:t xml:space="preserve"> (</w:t>
      </w:r>
      <w:r w:rsidR="00FD7369">
        <w:rPr>
          <w:lang w:val="en-US"/>
        </w:rPr>
        <w:t xml:space="preserve">with 4x8 </w:t>
      </w:r>
      <w:r w:rsidR="00FD7369" w:rsidRPr="00F12222">
        <w:rPr>
          <w:lang w:val="en-US"/>
        </w:rPr>
        <w:t>g</w:t>
      </w:r>
      <w:r w:rsidR="00FD7369">
        <w:rPr>
          <w:lang w:val="en-US"/>
        </w:rPr>
        <w:t>N</w:t>
      </w:r>
      <w:r w:rsidR="00FD7369" w:rsidRPr="00F12222">
        <w:rPr>
          <w:lang w:val="en-US"/>
        </w:rPr>
        <w:t>B</w:t>
      </w:r>
      <w:r w:rsidR="00FD7369">
        <w:rPr>
          <w:lang w:val="en-US"/>
        </w:rPr>
        <w:t xml:space="preserve"> and</w:t>
      </w:r>
      <w:r w:rsidR="00FD7369" w:rsidRPr="00F12222">
        <w:rPr>
          <w:lang w:val="en-US"/>
        </w:rPr>
        <w:t xml:space="preserve"> </w:t>
      </w:r>
      <w:r w:rsidR="00FD7369">
        <w:rPr>
          <w:lang w:val="en-US"/>
        </w:rPr>
        <w:t xml:space="preserve">2x2 </w:t>
      </w:r>
      <w:r w:rsidR="00FD7369" w:rsidRPr="00F12222">
        <w:rPr>
          <w:lang w:val="en-US"/>
        </w:rPr>
        <w:t>UE</w:t>
      </w:r>
      <w:r w:rsidR="00FD7369">
        <w:rPr>
          <w:lang w:val="en-US"/>
        </w:rPr>
        <w:t xml:space="preserve"> arrays per polarization (</w:t>
      </w:r>
      <w:r w:rsidR="00FD7369">
        <w:t>performance results for QPSK, 16QAM and 64QAM are plotted with blue, black and red curves, respectively</w:t>
      </w:r>
      <w:r w:rsidR="00FD7369">
        <w:rPr>
          <w:lang w:val="en-US"/>
        </w:rPr>
        <w:t>).</w:t>
      </w:r>
    </w:p>
    <w:p w14:paraId="30CD1E9D" w14:textId="6EBF4C37" w:rsidR="008A2C71" w:rsidRPr="00B9791B" w:rsidRDefault="00F36826" w:rsidP="00FB6421">
      <w:pPr>
        <w:pStyle w:val="BodyText"/>
        <w:keepNext/>
        <w:jc w:val="center"/>
      </w:pPr>
      <w:r>
        <w:rPr>
          <w:noProof/>
        </w:rPr>
        <w:lastRenderedPageBreak/>
        <w:drawing>
          <wp:inline distT="0" distB="0" distL="0" distR="0" wp14:anchorId="61B63067" wp14:editId="256BCD44">
            <wp:extent cx="2926080" cy="219456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A75971">
        <w:rPr>
          <w:noProof/>
        </w:rPr>
        <w:drawing>
          <wp:inline distT="0" distB="0" distL="0" distR="0" wp14:anchorId="3BDBBBEA" wp14:editId="77C4C311">
            <wp:extent cx="2926080" cy="2194560"/>
            <wp:effectExtent l="0" t="0" r="7620" b="0"/>
            <wp:docPr id="130600290" name="Picture 130600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481C28FA" w14:textId="6FE84557" w:rsidR="008A2C71" w:rsidRDefault="008A2C71">
      <w:pPr>
        <w:pStyle w:val="TF"/>
        <w:keepNext/>
        <w:jc w:val="both"/>
        <w:rPr>
          <w:lang w:val="en-US"/>
        </w:rPr>
      </w:pPr>
      <w:bookmarkStart w:id="16" w:name="_Ref40356653"/>
      <w:r w:rsidRPr="00F12222">
        <w:rPr>
          <w:lang w:val="en-US"/>
        </w:rPr>
        <w:t xml:space="preserve">Figure </w:t>
      </w:r>
      <w:r w:rsidRPr="00F12222">
        <w:rPr>
          <w:lang w:val="en-US"/>
        </w:rPr>
        <w:fldChar w:fldCharType="begin"/>
      </w:r>
      <w:r w:rsidRPr="00F12222">
        <w:rPr>
          <w:lang w:val="en-US"/>
        </w:rPr>
        <w:instrText xml:space="preserve"> SEQ Figure \* ARABIC </w:instrText>
      </w:r>
      <w:r w:rsidRPr="00F12222">
        <w:rPr>
          <w:lang w:val="en-US"/>
        </w:rPr>
        <w:fldChar w:fldCharType="separate"/>
      </w:r>
      <w:r w:rsidR="005A26D8">
        <w:rPr>
          <w:noProof/>
          <w:lang w:val="en-US"/>
        </w:rPr>
        <w:t>15</w:t>
      </w:r>
      <w:r w:rsidRPr="00F12222">
        <w:rPr>
          <w:lang w:val="en-US"/>
        </w:rPr>
        <w:fldChar w:fldCharType="end"/>
      </w:r>
      <w:bookmarkEnd w:id="16"/>
      <w:r w:rsidRPr="00F12222">
        <w:rPr>
          <w:lang w:val="en-US"/>
        </w:rPr>
        <w:t xml:space="preserve">: BLER for </w:t>
      </w:r>
      <w:proofErr w:type="spellStart"/>
      <w:r w:rsidRPr="00F12222">
        <w:rPr>
          <w:lang w:val="en-US"/>
        </w:rPr>
        <w:t>Umi</w:t>
      </w:r>
      <w:proofErr w:type="spellEnd"/>
      <w:r w:rsidRPr="00F12222">
        <w:rPr>
          <w:lang w:val="en-US"/>
        </w:rPr>
        <w:t xml:space="preserve"> </w:t>
      </w:r>
      <w:r w:rsidR="00FD7369">
        <w:rPr>
          <w:lang w:val="en-US"/>
        </w:rPr>
        <w:t xml:space="preserve">with 8x16 </w:t>
      </w:r>
      <w:r w:rsidR="00FD7369" w:rsidRPr="00F12222">
        <w:rPr>
          <w:lang w:val="en-US"/>
        </w:rPr>
        <w:t>g</w:t>
      </w:r>
      <w:r w:rsidR="00FD7369">
        <w:rPr>
          <w:lang w:val="en-US"/>
        </w:rPr>
        <w:t>N</w:t>
      </w:r>
      <w:r w:rsidR="00FD7369" w:rsidRPr="00F12222">
        <w:rPr>
          <w:lang w:val="en-US"/>
        </w:rPr>
        <w:t>B</w:t>
      </w:r>
      <w:r w:rsidR="00FD7369">
        <w:rPr>
          <w:lang w:val="en-US"/>
        </w:rPr>
        <w:t xml:space="preserve"> and</w:t>
      </w:r>
      <w:r w:rsidR="00FD7369" w:rsidRPr="00F12222">
        <w:rPr>
          <w:lang w:val="en-US"/>
        </w:rPr>
        <w:t xml:space="preserve"> </w:t>
      </w:r>
      <w:r w:rsidR="00FD7369">
        <w:rPr>
          <w:lang w:val="en-US"/>
        </w:rPr>
        <w:t xml:space="preserve">4x4 </w:t>
      </w:r>
      <w:r w:rsidR="00FD7369" w:rsidRPr="00F12222">
        <w:rPr>
          <w:lang w:val="en-US"/>
        </w:rPr>
        <w:t>UE</w:t>
      </w:r>
      <w:r w:rsidR="00FD7369">
        <w:rPr>
          <w:lang w:val="en-US"/>
        </w:rPr>
        <w:t xml:space="preserve"> arrays per polarization (</w:t>
      </w:r>
      <w:r w:rsidR="00FD7369">
        <w:t>performance results for QPSK, 16QAM and 64QAM are plotted with blue, black and red curves, respectively</w:t>
      </w:r>
      <w:r w:rsidR="00FD7369">
        <w:rPr>
          <w:lang w:val="en-US"/>
        </w:rPr>
        <w:t>).</w:t>
      </w:r>
      <w:r w:rsidR="00FD7369" w:rsidRPr="00F12222" w:rsidDel="00FD7369">
        <w:rPr>
          <w:lang w:val="en-US"/>
        </w:rPr>
        <w:t xml:space="preserve"> </w:t>
      </w:r>
    </w:p>
    <w:p w14:paraId="73744EE9" w14:textId="72C1B991" w:rsidR="008B100F" w:rsidRPr="00F4189C" w:rsidRDefault="008B100F" w:rsidP="00FB6421">
      <w:pPr>
        <w:pStyle w:val="TF"/>
        <w:keepNext/>
        <w:jc w:val="both"/>
      </w:pPr>
    </w:p>
    <w:p w14:paraId="5DF44833" w14:textId="7E378411" w:rsidR="008A2C71" w:rsidRPr="00AB72FC" w:rsidRDefault="008A2C71" w:rsidP="008A2C71">
      <w:pPr>
        <w:pStyle w:val="BodyText"/>
      </w:pPr>
      <w:r w:rsidRPr="00AB72FC">
        <w:t>To further investigate the applicable numerology and sub-carrier spacing, it is essential to have a realistic up</w:t>
      </w:r>
      <w:r w:rsidR="00503576">
        <w:t>-</w:t>
      </w:r>
      <w:r w:rsidRPr="00AB72FC">
        <w:t>to</w:t>
      </w:r>
      <w:r w:rsidR="00503576">
        <w:t>-</w:t>
      </w:r>
      <w:r w:rsidRPr="00AB72FC">
        <w:t xml:space="preserve">date model of phase noise. A realistic phase noise model is also important </w:t>
      </w:r>
      <w:r w:rsidR="0098200C">
        <w:t>in the decision on</w:t>
      </w:r>
      <w:r w:rsidRPr="00AB72FC">
        <w:t xml:space="preserve"> the supported modulation order and </w:t>
      </w:r>
      <w:r w:rsidR="00A67F2D">
        <w:t xml:space="preserve">the </w:t>
      </w:r>
      <w:r w:rsidRPr="00AB72FC">
        <w:t xml:space="preserve">corresponding requirements. </w:t>
      </w:r>
      <w:r w:rsidR="004B32DE">
        <w:t>The impact of p</w:t>
      </w:r>
      <w:r w:rsidRPr="00AB72FC">
        <w:t xml:space="preserve">hase noise </w:t>
      </w:r>
      <w:r w:rsidR="004B32DE">
        <w:t xml:space="preserve">on receiver requirements </w:t>
      </w:r>
      <w:r w:rsidRPr="00AB72FC">
        <w:t>also need</w:t>
      </w:r>
      <w:r w:rsidR="001E6824">
        <w:t>s</w:t>
      </w:r>
      <w:r w:rsidRPr="00AB72FC">
        <w:t xml:space="preserve"> to be considered due </w:t>
      </w:r>
      <w:r w:rsidR="00086DC6">
        <w:t xml:space="preserve">to </w:t>
      </w:r>
      <w:r w:rsidRPr="00AB72FC">
        <w:t>the reciprocal mixing of phase noise</w:t>
      </w:r>
      <w:r w:rsidR="008C7E5C">
        <w:t>,</w:t>
      </w:r>
      <w:r w:rsidRPr="00AB72FC">
        <w:t xml:space="preserve"> which is not further elaborated here and left for RAN4 coming discussions.</w:t>
      </w:r>
      <w:r>
        <w:t xml:space="preserve"> </w:t>
      </w:r>
      <w:r w:rsidRPr="00AB72FC">
        <w:t xml:space="preserve">Due to </w:t>
      </w:r>
      <w:r w:rsidR="00544836">
        <w:t>the</w:t>
      </w:r>
      <w:r w:rsidR="00544836" w:rsidRPr="00AB72FC">
        <w:t xml:space="preserve"> </w:t>
      </w:r>
      <w:r w:rsidRPr="00AB72FC">
        <w:t xml:space="preserve">larger </w:t>
      </w:r>
      <w:r w:rsidR="00544836">
        <w:t xml:space="preserve">expected </w:t>
      </w:r>
      <w:r w:rsidRPr="00AB72FC">
        <w:t xml:space="preserve">subcarrier spacing for this SI compared to FR2, the different regions of phase noise characteristics will affect the overall performance in different proportions (compared to FR2). We believe in the need of a better phase noise modeling that is more representative of integrated RF circuit solutions </w:t>
      </w:r>
      <w:r w:rsidR="00BD24EC">
        <w:t xml:space="preserve">and </w:t>
      </w:r>
      <w:r w:rsidRPr="00AB72FC">
        <w:t>more suited for low cost unlicensed band operations.</w:t>
      </w:r>
    </w:p>
    <w:p w14:paraId="7F82B3C6" w14:textId="0FF0AFA4" w:rsidR="008A2C71" w:rsidRPr="00AB72FC" w:rsidRDefault="008A2C71" w:rsidP="008A2C71">
      <w:pPr>
        <w:pStyle w:val="BodyText"/>
      </w:pPr>
      <w:r>
        <w:t xml:space="preserve">In </w:t>
      </w:r>
      <w:r>
        <w:fldChar w:fldCharType="begin"/>
      </w:r>
      <w:r>
        <w:instrText xml:space="preserve"> REF _Ref40274964 \r \h </w:instrText>
      </w:r>
      <w:r>
        <w:fldChar w:fldCharType="separate"/>
      </w:r>
      <w:r w:rsidR="005A26D8">
        <w:t>[11]</w:t>
      </w:r>
      <w:r>
        <w:fldChar w:fldCharType="end"/>
      </w:r>
      <w:r>
        <w:t>,</w:t>
      </w:r>
      <w:r w:rsidRPr="00AB72FC">
        <w:t xml:space="preserve"> we present a new phase noise model based on recently published data on both state-of-the-art PLL and crystal oscillators that lead to an improved model representing the current technology envelope. Using this model the phase noise requirements are in a sense PLL frequency independent, so that it will not matter if a sliding IF using a PLL with 2/3 of the carrier signal frequency is used, or a homodyne with the PLL at the carrier, or a homodyne using a PLL at 2 times the carrier frequency. With this phase noise model</w:t>
      </w:r>
      <w:r>
        <w:t>,</w:t>
      </w:r>
      <w:r w:rsidRPr="00AB72FC">
        <w:t xml:space="preserve"> the PLL requirements will be equivalent from a system performance point of view. It should of course be understood that it will be more challenging to realize a higher frequency PLL, and for the same performance it will consume more power</w:t>
      </w:r>
      <w:r w:rsidR="0027405C">
        <w:t>, or equivalently</w:t>
      </w:r>
      <w:r w:rsidR="00C66541">
        <w:t>,</w:t>
      </w:r>
      <w:r w:rsidR="0027405C">
        <w:t xml:space="preserve"> for the same power consumption</w:t>
      </w:r>
      <w:r w:rsidR="00E95FE6">
        <w:t>, worse performance is to be expected</w:t>
      </w:r>
      <w:r w:rsidRPr="00AB72FC">
        <w:t xml:space="preserve">. Another benefit of this model is that different parts of the 7 to 100GHz band can be addressed by a single PLL or a set of PLLs with different frequency divider arrangements, and the PLL phase noise requirements will with this model be the same for all the different operating modes, drastically simplifying implementation.  </w:t>
      </w:r>
    </w:p>
    <w:p w14:paraId="5437BEAC" w14:textId="7F99AD90" w:rsidR="008A2C71" w:rsidRDefault="008A2C71" w:rsidP="008A2C71">
      <w:pPr>
        <w:pStyle w:val="BodyText"/>
      </w:pPr>
      <w:r w:rsidRPr="00AB72FC">
        <w:t xml:space="preserve">Furthermore, an implementation design margin is introduced to account for inevitable variations in semi-conductor process manufacturing, voltage, temperature, and frequency of operation. The implementation design margin ensures that the model represents realistic performance for numerology evaluation studies. In the following figure, we illustrate the new proposed phase noise model with no design margin or with a 10 dB design margin. </w:t>
      </w:r>
    </w:p>
    <w:p w14:paraId="799A9D2E" w14:textId="77777777" w:rsidR="008A2C71" w:rsidRPr="00AB72FC" w:rsidRDefault="008A2C71" w:rsidP="008A2C71">
      <w:pPr>
        <w:pStyle w:val="BodyText"/>
        <w:jc w:val="center"/>
      </w:pPr>
      <w:r>
        <w:rPr>
          <w:noProof/>
        </w:rPr>
        <w:lastRenderedPageBreak/>
        <w:drawing>
          <wp:inline distT="0" distB="0" distL="0" distR="0" wp14:anchorId="1DB90B45" wp14:editId="7FF79F08">
            <wp:extent cx="3657600" cy="2743200"/>
            <wp:effectExtent l="0" t="0" r="0" b="0"/>
            <wp:docPr id="281103081" name="Content Placeholder 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pic:nvPicPr>
                  <pic:blipFill>
                    <a:blip r:embed="rId31">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0724F74C-FD4C-41AC-AAF8-B77B76CF9213}"/>
                        </a:ext>
                      </a:extLst>
                    </a:blip>
                    <a:stretch>
                      <a:fillRect/>
                    </a:stretch>
                  </pic:blipFill>
                  <pic:spPr>
                    <a:xfrm>
                      <a:off x="0" y="0"/>
                      <a:ext cx="3657600" cy="2743200"/>
                    </a:xfrm>
                    <a:prstGeom prst="rect">
                      <a:avLst/>
                    </a:prstGeom>
                  </pic:spPr>
                </pic:pic>
              </a:graphicData>
            </a:graphic>
          </wp:inline>
        </w:drawing>
      </w:r>
    </w:p>
    <w:p w14:paraId="3B8CDF9A" w14:textId="16CFF867" w:rsidR="008A2C71" w:rsidRDefault="008A2C71" w:rsidP="008A2C71">
      <w:pPr>
        <w:pStyle w:val="TF"/>
        <w:keepNext/>
        <w:rPr>
          <w:lang w:val="en-US"/>
        </w:rPr>
      </w:pPr>
      <w:r>
        <w:rPr>
          <w:lang w:val="en-US"/>
        </w:rPr>
        <w:t>Figure</w:t>
      </w:r>
      <w:r w:rsidRPr="00CE0424">
        <w:t xml:space="preserve"> </w:t>
      </w:r>
      <w:r>
        <w:fldChar w:fldCharType="begin"/>
      </w:r>
      <w:r>
        <w:instrText xml:space="preserve"> SEQ Figure \* ARABIC </w:instrText>
      </w:r>
      <w:r>
        <w:fldChar w:fldCharType="separate"/>
      </w:r>
      <w:r w:rsidR="005A26D8">
        <w:rPr>
          <w:noProof/>
        </w:rPr>
        <w:t>16</w:t>
      </w:r>
      <w:r>
        <w:rPr>
          <w:noProof/>
        </w:rPr>
        <w:fldChar w:fldCharType="end"/>
      </w:r>
      <w:r w:rsidRPr="00CE0424">
        <w:t>:</w:t>
      </w:r>
      <w:r>
        <w:rPr>
          <w:lang w:val="en-US"/>
        </w:rPr>
        <w:t xml:space="preserve"> Enhanced phase noise model with no design margin or 10 dB design margin.</w:t>
      </w:r>
    </w:p>
    <w:p w14:paraId="0CFBB12E" w14:textId="77777777" w:rsidR="00667158" w:rsidRPr="004370BD" w:rsidRDefault="00667158" w:rsidP="00FB6421">
      <w:pPr>
        <w:pStyle w:val="BodyText"/>
      </w:pPr>
    </w:p>
    <w:p w14:paraId="266AF462" w14:textId="77777777" w:rsidR="008A2C71" w:rsidRDefault="008A2C71" w:rsidP="008A2C71">
      <w:pPr>
        <w:pStyle w:val="Heading2"/>
      </w:pPr>
      <w:r>
        <w:t>4.5</w:t>
      </w:r>
      <w:r>
        <w:tab/>
        <w:t>Processing time issues</w:t>
      </w:r>
    </w:p>
    <w:p w14:paraId="702E1A7B" w14:textId="1D790D7E" w:rsidR="008A2C71" w:rsidRDefault="008A2C71" w:rsidP="008A2C71">
      <w:pPr>
        <w:pStyle w:val="BodyText"/>
      </w:pPr>
      <w:r>
        <w:t xml:space="preserve">With short OFDM symbol durations associated with large SCSs, the amount of time for UE and gNB to perform several critical operations can become quite challenging. Consider first the UE PDSCH processing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specified in Section 5.3 of </w:t>
      </w:r>
      <w:r>
        <w:fldChar w:fldCharType="begin"/>
      </w:r>
      <w:r>
        <w:instrText xml:space="preserve"> REF _Ref39586750 \r \h </w:instrText>
      </w:r>
      <w:r>
        <w:fldChar w:fldCharType="separate"/>
      </w:r>
      <w:r w:rsidR="005A26D8">
        <w:t>[6]</w:t>
      </w:r>
      <w:r>
        <w:fldChar w:fldCharType="end"/>
      </w:r>
      <w:r>
        <w:t>. For 120 kHz SCS for FR2 operations, only UE PDSCH processing capability 1 is applicable. The allowed processing times in terms of OFDM symbols are specified by the following table:</w:t>
      </w:r>
    </w:p>
    <w:p w14:paraId="33BADA71" w14:textId="77777777" w:rsidR="008A2C71" w:rsidRPr="0048482F" w:rsidRDefault="008A2C71" w:rsidP="008A2C71">
      <w:pPr>
        <w:pStyle w:val="TH"/>
        <w:rPr>
          <w:i/>
          <w:color w:val="000000"/>
        </w:rPr>
      </w:pPr>
      <w:r w:rsidRPr="0048482F">
        <w:rPr>
          <w:color w:val="000000"/>
        </w:rPr>
        <w:t>Table 5.3-1: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8A2C71" w:rsidRPr="0048482F" w14:paraId="2A41707D" w14:textId="77777777" w:rsidTr="00AC1B06">
        <w:trPr>
          <w:jc w:val="center"/>
        </w:trPr>
        <w:tc>
          <w:tcPr>
            <w:tcW w:w="828" w:type="dxa"/>
            <w:vMerge w:val="restart"/>
            <w:shd w:val="clear" w:color="auto" w:fill="auto"/>
            <w:vAlign w:val="center"/>
          </w:tcPr>
          <w:p w14:paraId="225B0156" w14:textId="77777777" w:rsidR="008A2C71" w:rsidRPr="00E17FE7" w:rsidRDefault="008A2C71" w:rsidP="00AC1B06">
            <w:pPr>
              <w:pStyle w:val="TAH"/>
              <w:rPr>
                <w:rFonts w:eastAsia="Batang"/>
                <w:color w:val="000000"/>
                <w:lang w:val="en-GB"/>
              </w:rPr>
            </w:pPr>
            <w:r w:rsidRPr="00E17FE7">
              <w:rPr>
                <w:rFonts w:eastAsia="Batang"/>
                <w:color w:val="000000"/>
                <w:position w:val="-8"/>
                <w:lang w:val="en-GB"/>
              </w:rPr>
              <w:object w:dxaOrig="220" w:dyaOrig="220" w14:anchorId="72D146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pt;height:14.2pt" o:ole="">
                  <v:imagedata r:id="rId32" o:title=""/>
                </v:shape>
                <o:OLEObject Type="Embed" ProgID="Equation.3" ShapeID="_x0000_i1025" DrawAspect="Content" ObjectID="_1651080492" r:id="rId33"/>
              </w:object>
            </w:r>
          </w:p>
        </w:tc>
        <w:tc>
          <w:tcPr>
            <w:tcW w:w="7547" w:type="dxa"/>
            <w:gridSpan w:val="2"/>
            <w:shd w:val="clear" w:color="auto" w:fill="auto"/>
          </w:tcPr>
          <w:p w14:paraId="184F0361" w14:textId="77777777" w:rsidR="008A2C71" w:rsidRPr="00E17FE7" w:rsidRDefault="008A2C71" w:rsidP="00AC1B06">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A2C71" w:rsidRPr="0048482F" w14:paraId="6C17357E" w14:textId="77777777" w:rsidTr="00AC1B06">
        <w:trPr>
          <w:jc w:val="center"/>
        </w:trPr>
        <w:tc>
          <w:tcPr>
            <w:tcW w:w="828" w:type="dxa"/>
            <w:vMerge/>
            <w:shd w:val="clear" w:color="auto" w:fill="auto"/>
          </w:tcPr>
          <w:p w14:paraId="2B85337E" w14:textId="77777777" w:rsidR="008A2C71" w:rsidRPr="00E17FE7" w:rsidRDefault="008A2C71" w:rsidP="00AC1B06">
            <w:pPr>
              <w:pStyle w:val="TAH"/>
              <w:rPr>
                <w:rFonts w:eastAsia="Batang"/>
                <w:color w:val="000000"/>
                <w:lang w:val="en-GB"/>
              </w:rPr>
            </w:pPr>
          </w:p>
        </w:tc>
        <w:tc>
          <w:tcPr>
            <w:tcW w:w="3773" w:type="dxa"/>
            <w:shd w:val="clear" w:color="auto" w:fill="auto"/>
          </w:tcPr>
          <w:p w14:paraId="30153893" w14:textId="77777777" w:rsidR="008A2C71" w:rsidRPr="00E17FE7" w:rsidRDefault="008A2C71" w:rsidP="00AC1B06">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both of </w:t>
            </w:r>
            <w:r>
              <w:rPr>
                <w:rFonts w:eastAsia="Batang"/>
                <w:color w:val="000000"/>
                <w:lang w:val="en-GB"/>
              </w:rPr>
              <w:br/>
            </w:r>
            <w:proofErr w:type="spellStart"/>
            <w:r w:rsidRPr="007B1689">
              <w:rPr>
                <w:i/>
              </w:rPr>
              <w:t>dmrs-DownlinkForPDSCH-MappingTypeA</w:t>
            </w:r>
            <w:proofErr w:type="spellEnd"/>
            <w:r w:rsidRPr="007B1689">
              <w:rPr>
                <w:lang w:val="en-US"/>
              </w:rPr>
              <w:t xml:space="preserve">, </w:t>
            </w:r>
            <w:proofErr w:type="spellStart"/>
            <w:r w:rsidRPr="007B1689">
              <w:rPr>
                <w:i/>
              </w:rPr>
              <w:t>dmrs-DownlinkForPDSCH-MappingTypeB</w:t>
            </w:r>
            <w:proofErr w:type="spellEnd"/>
          </w:p>
        </w:tc>
        <w:tc>
          <w:tcPr>
            <w:tcW w:w="3774" w:type="dxa"/>
          </w:tcPr>
          <w:p w14:paraId="3928240A" w14:textId="77777777" w:rsidR="008A2C71" w:rsidRDefault="008A2C71" w:rsidP="00AC1B06">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either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Pr>
                <w:rFonts w:eastAsia="Batang"/>
                <w:i/>
                <w:color w:val="000000"/>
                <w:lang w:val="en-GB"/>
              </w:rPr>
              <w:t xml:space="preserve"> </w:t>
            </w:r>
          </w:p>
          <w:p w14:paraId="53FB55CB" w14:textId="77777777" w:rsidR="008A2C71" w:rsidRPr="00E17FE7" w:rsidRDefault="008A2C71" w:rsidP="00AC1B06">
            <w:pPr>
              <w:pStyle w:val="TAH"/>
              <w:rPr>
                <w:rFonts w:eastAsia="Batang"/>
                <w:color w:val="000000"/>
                <w:lang w:val="en-GB"/>
              </w:rPr>
            </w:pPr>
            <w:r>
              <w:rPr>
                <w:rFonts w:eastAsia="Batang"/>
                <w:i/>
                <w:color w:val="000000"/>
                <w:lang w:val="en-GB"/>
              </w:rPr>
              <w:t xml:space="preserve">or if the higher layer parameter is not configured </w:t>
            </w:r>
          </w:p>
        </w:tc>
      </w:tr>
      <w:tr w:rsidR="008A2C71" w:rsidRPr="0048482F" w14:paraId="72CEFD7A" w14:textId="77777777" w:rsidTr="00AC1B06">
        <w:trPr>
          <w:jc w:val="center"/>
        </w:trPr>
        <w:tc>
          <w:tcPr>
            <w:tcW w:w="828" w:type="dxa"/>
            <w:shd w:val="clear" w:color="auto" w:fill="auto"/>
          </w:tcPr>
          <w:p w14:paraId="516C206D" w14:textId="77777777" w:rsidR="008A2C71" w:rsidRPr="00E17FE7" w:rsidRDefault="008A2C71" w:rsidP="00AC1B06">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3C24E6F7" w14:textId="77777777" w:rsidR="008A2C71" w:rsidRPr="00E17FE7" w:rsidRDefault="008A2C71" w:rsidP="00AC1B06">
            <w:pPr>
              <w:pStyle w:val="TAC"/>
              <w:rPr>
                <w:rFonts w:eastAsia="Batang"/>
                <w:color w:val="000000"/>
                <w:lang w:val="en-GB"/>
              </w:rPr>
            </w:pPr>
            <w:r w:rsidRPr="00E17FE7">
              <w:rPr>
                <w:rFonts w:eastAsia="Batang"/>
                <w:color w:val="000000"/>
                <w:lang w:val="en-GB"/>
              </w:rPr>
              <w:t>8</w:t>
            </w:r>
          </w:p>
        </w:tc>
        <w:tc>
          <w:tcPr>
            <w:tcW w:w="3774" w:type="dxa"/>
          </w:tcPr>
          <w:p w14:paraId="6EBD64C0" w14:textId="77777777" w:rsidR="008A2C71" w:rsidRPr="00E17FE7" w:rsidRDefault="008A2C71" w:rsidP="00AC1B06">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8A2C71" w:rsidRPr="0048482F" w14:paraId="622CB4C6" w14:textId="77777777" w:rsidTr="00AC1B06">
        <w:trPr>
          <w:jc w:val="center"/>
        </w:trPr>
        <w:tc>
          <w:tcPr>
            <w:tcW w:w="828" w:type="dxa"/>
            <w:shd w:val="clear" w:color="auto" w:fill="auto"/>
          </w:tcPr>
          <w:p w14:paraId="09DF2889" w14:textId="77777777" w:rsidR="008A2C71" w:rsidRPr="00E17FE7" w:rsidRDefault="008A2C71" w:rsidP="00AC1B06">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5122C2F2" w14:textId="77777777" w:rsidR="008A2C71" w:rsidRPr="00E17FE7" w:rsidRDefault="008A2C71" w:rsidP="00AC1B06">
            <w:pPr>
              <w:pStyle w:val="TAC"/>
              <w:rPr>
                <w:rFonts w:eastAsia="Batang"/>
                <w:color w:val="000000"/>
                <w:lang w:val="en-GB"/>
              </w:rPr>
            </w:pPr>
            <w:r w:rsidRPr="00E17FE7">
              <w:rPr>
                <w:rFonts w:eastAsia="Batang"/>
                <w:color w:val="000000"/>
                <w:lang w:val="en-GB"/>
              </w:rPr>
              <w:t>10</w:t>
            </w:r>
          </w:p>
        </w:tc>
        <w:tc>
          <w:tcPr>
            <w:tcW w:w="3774" w:type="dxa"/>
          </w:tcPr>
          <w:p w14:paraId="3D9D9A14" w14:textId="77777777" w:rsidR="008A2C71" w:rsidRPr="00E17FE7" w:rsidRDefault="008A2C71" w:rsidP="00AC1B06">
            <w:pPr>
              <w:pStyle w:val="TAC"/>
              <w:rPr>
                <w:rFonts w:eastAsia="Batang"/>
                <w:color w:val="000000"/>
                <w:lang w:val="en-GB"/>
              </w:rPr>
            </w:pPr>
            <w:r w:rsidRPr="00E17FE7">
              <w:rPr>
                <w:rFonts w:eastAsia="Batang"/>
                <w:color w:val="000000"/>
                <w:lang w:val="en-GB"/>
              </w:rPr>
              <w:t>13</w:t>
            </w:r>
          </w:p>
        </w:tc>
      </w:tr>
      <w:tr w:rsidR="008A2C71" w:rsidRPr="0048482F" w14:paraId="0E4348C9" w14:textId="77777777" w:rsidTr="00AC1B06">
        <w:trPr>
          <w:trHeight w:val="47"/>
          <w:jc w:val="center"/>
        </w:trPr>
        <w:tc>
          <w:tcPr>
            <w:tcW w:w="828" w:type="dxa"/>
            <w:shd w:val="clear" w:color="auto" w:fill="auto"/>
          </w:tcPr>
          <w:p w14:paraId="68200304" w14:textId="77777777" w:rsidR="008A2C71" w:rsidRPr="00E17FE7" w:rsidRDefault="008A2C71" w:rsidP="00AC1B06">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F20B0A8" w14:textId="77777777" w:rsidR="008A2C71" w:rsidRPr="00E17FE7" w:rsidRDefault="008A2C71" w:rsidP="00AC1B06">
            <w:pPr>
              <w:pStyle w:val="TAC"/>
              <w:rPr>
                <w:rFonts w:eastAsia="Batang"/>
                <w:color w:val="000000"/>
                <w:lang w:val="en-GB"/>
              </w:rPr>
            </w:pPr>
            <w:r w:rsidRPr="00E17FE7">
              <w:rPr>
                <w:rFonts w:eastAsia="Batang"/>
                <w:color w:val="000000"/>
                <w:lang w:val="en-GB"/>
              </w:rPr>
              <w:t>17</w:t>
            </w:r>
          </w:p>
        </w:tc>
        <w:tc>
          <w:tcPr>
            <w:tcW w:w="3774" w:type="dxa"/>
          </w:tcPr>
          <w:p w14:paraId="1425EEB5" w14:textId="77777777" w:rsidR="008A2C71" w:rsidRPr="00E17FE7" w:rsidRDefault="008A2C71" w:rsidP="00AC1B06">
            <w:pPr>
              <w:pStyle w:val="TAC"/>
              <w:rPr>
                <w:rFonts w:eastAsia="Batang"/>
                <w:color w:val="000000"/>
                <w:lang w:val="en-GB"/>
              </w:rPr>
            </w:pPr>
            <w:r w:rsidRPr="00E17FE7">
              <w:rPr>
                <w:rFonts w:eastAsia="Batang"/>
                <w:color w:val="000000"/>
                <w:lang w:val="en-GB"/>
              </w:rPr>
              <w:t>20</w:t>
            </w:r>
          </w:p>
        </w:tc>
      </w:tr>
      <w:tr w:rsidR="008A2C71" w:rsidRPr="0048482F" w14:paraId="7CD4C8A6" w14:textId="77777777" w:rsidTr="00AC1B06">
        <w:trPr>
          <w:jc w:val="center"/>
        </w:trPr>
        <w:tc>
          <w:tcPr>
            <w:tcW w:w="828" w:type="dxa"/>
            <w:shd w:val="clear" w:color="auto" w:fill="auto"/>
          </w:tcPr>
          <w:p w14:paraId="464BEEE2" w14:textId="77777777" w:rsidR="008A2C71" w:rsidRPr="00E17FE7" w:rsidRDefault="008A2C71" w:rsidP="00AC1B06">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6A181FDA" w14:textId="77777777" w:rsidR="008A2C71" w:rsidRPr="00E17FE7" w:rsidRDefault="008A2C71" w:rsidP="00AC1B06">
            <w:pPr>
              <w:pStyle w:val="TAC"/>
              <w:rPr>
                <w:rFonts w:eastAsia="Batang"/>
                <w:color w:val="000000"/>
                <w:lang w:val="en-GB"/>
              </w:rPr>
            </w:pPr>
            <w:r w:rsidRPr="00E17FE7">
              <w:rPr>
                <w:rFonts w:eastAsia="Batang"/>
                <w:color w:val="000000"/>
                <w:lang w:val="en-GB"/>
              </w:rPr>
              <w:t>20</w:t>
            </w:r>
          </w:p>
        </w:tc>
        <w:tc>
          <w:tcPr>
            <w:tcW w:w="3774" w:type="dxa"/>
          </w:tcPr>
          <w:p w14:paraId="3A8AE089" w14:textId="77777777" w:rsidR="008A2C71" w:rsidRPr="00E17FE7" w:rsidRDefault="008A2C71" w:rsidP="00AC1B06">
            <w:pPr>
              <w:pStyle w:val="TAC"/>
              <w:rPr>
                <w:rFonts w:eastAsia="Batang"/>
                <w:color w:val="000000"/>
                <w:lang w:val="en-GB"/>
              </w:rPr>
            </w:pPr>
            <w:r w:rsidRPr="00E17FE7">
              <w:rPr>
                <w:rFonts w:eastAsia="Batang"/>
                <w:color w:val="000000"/>
                <w:lang w:val="en-GB"/>
              </w:rPr>
              <w:t>24</w:t>
            </w:r>
          </w:p>
        </w:tc>
      </w:tr>
    </w:tbl>
    <w:p w14:paraId="0A228331" w14:textId="77777777" w:rsidR="008A2C71" w:rsidRDefault="008A2C71" w:rsidP="008A2C71">
      <w:pPr>
        <w:pStyle w:val="BodyText"/>
      </w:pPr>
    </w:p>
    <w:p w14:paraId="690F9E14" w14:textId="77777777" w:rsidR="008A2C71" w:rsidRDefault="008A2C71" w:rsidP="008A2C71">
      <w:pPr>
        <w:pStyle w:val="BodyText"/>
      </w:pPr>
      <w:r>
        <w:t xml:space="preserve">It can be observed that the amount of processing time provisioned for decoding a PDSCH </w:t>
      </w:r>
      <w:r w:rsidRPr="00085F74">
        <w:rPr>
          <w:u w:val="single"/>
        </w:rPr>
        <w:t xml:space="preserve">grows </w:t>
      </w:r>
      <w:r w:rsidRPr="00815D36">
        <w:rPr>
          <w:u w:val="single"/>
        </w:rPr>
        <w:t>exponentially</w:t>
      </w:r>
      <w:r>
        <w:t xml:space="preserve"> with the numerology. Using the front loaded DMRS case as an example, if the trend exhibited in the above table is extrapolated, one may find the PDSCH decoding time grows to 50 OSs (~3 slots) for 960 kHz SCS and over 90 OSs (&gt;6 slots) for the 3840 kHz SCS.</w:t>
      </w:r>
    </w:p>
    <w:p w14:paraId="173056B6" w14:textId="604B25A1" w:rsidR="008A2C71" w:rsidRDefault="008A2C71" w:rsidP="008A2C71">
      <w:pPr>
        <w:pStyle w:val="BodyText"/>
      </w:pPr>
      <w:r>
        <w:t xml:space="preserve">Consider next the UE PUSCH processing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specified in Section 6.4 of </w:t>
      </w:r>
      <w:r>
        <w:fldChar w:fldCharType="begin"/>
      </w:r>
      <w:r>
        <w:instrText xml:space="preserve"> REF _Ref39586750 \r \h </w:instrText>
      </w:r>
      <w:r>
        <w:fldChar w:fldCharType="separate"/>
      </w:r>
      <w:r w:rsidR="005A26D8">
        <w:t>[6]</w:t>
      </w:r>
      <w:r>
        <w:fldChar w:fldCharType="end"/>
      </w:r>
      <w:r>
        <w:t xml:space="preserve"> and the following table. The trend of exponentially growing processing times for PUSCH is stronger still than those for PDSCH. Again, if one extrapolates from these numbers, we are looking at PUSCH scheduling latencies of &gt;10 slots for 960 kHz SCS and &gt;25 slots for 3840 kHz SCS. </w:t>
      </w:r>
    </w:p>
    <w:p w14:paraId="347B37BE" w14:textId="77777777" w:rsidR="008A2C71" w:rsidRPr="0048482F" w:rsidRDefault="008A2C71" w:rsidP="008A2C7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8A2C71" w:rsidRPr="0048482F" w14:paraId="18E4B20D" w14:textId="77777777" w:rsidTr="00AC1B06">
        <w:trPr>
          <w:jc w:val="center"/>
        </w:trPr>
        <w:tc>
          <w:tcPr>
            <w:tcW w:w="828" w:type="dxa"/>
            <w:shd w:val="clear" w:color="auto" w:fill="auto"/>
            <w:vAlign w:val="center"/>
          </w:tcPr>
          <w:p w14:paraId="761653A1" w14:textId="77777777" w:rsidR="008A2C71" w:rsidRPr="00E17FE7" w:rsidRDefault="008A2C71" w:rsidP="00AC1B06">
            <w:pPr>
              <w:pStyle w:val="TAC"/>
              <w:rPr>
                <w:rFonts w:eastAsia="Batang"/>
                <w:color w:val="000000"/>
                <w:lang w:val="en-GB"/>
              </w:rPr>
            </w:pPr>
            <w:r w:rsidRPr="00E17FE7">
              <w:rPr>
                <w:rFonts w:eastAsia="Batang"/>
                <w:color w:val="000000"/>
                <w:position w:val="-8"/>
                <w:lang w:val="en-GB"/>
              </w:rPr>
              <w:object w:dxaOrig="220" w:dyaOrig="220" w14:anchorId="6184DD55">
                <v:shape id="_x0000_i1026" type="#_x0000_t75" style="width:14.2pt;height:14.2pt" o:ole="">
                  <v:imagedata r:id="rId34" o:title=""/>
                </v:shape>
                <o:OLEObject Type="Embed" ProgID="Equation.3" ShapeID="_x0000_i1026" DrawAspect="Content" ObjectID="_1651080493" r:id="rId35"/>
              </w:object>
            </w:r>
          </w:p>
        </w:tc>
        <w:tc>
          <w:tcPr>
            <w:tcW w:w="4165" w:type="dxa"/>
            <w:shd w:val="clear" w:color="auto" w:fill="auto"/>
          </w:tcPr>
          <w:p w14:paraId="51933F00" w14:textId="77777777" w:rsidR="008A2C71" w:rsidRPr="00E17FE7" w:rsidRDefault="008A2C71" w:rsidP="00AC1B06">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8A2C71" w:rsidRPr="0048482F" w14:paraId="6474C699" w14:textId="77777777" w:rsidTr="00AC1B06">
        <w:trPr>
          <w:jc w:val="center"/>
        </w:trPr>
        <w:tc>
          <w:tcPr>
            <w:tcW w:w="828" w:type="dxa"/>
            <w:shd w:val="clear" w:color="auto" w:fill="auto"/>
          </w:tcPr>
          <w:p w14:paraId="188F6867" w14:textId="77777777" w:rsidR="008A2C71" w:rsidRPr="00E17FE7" w:rsidRDefault="008A2C71" w:rsidP="00AC1B06">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0A4FC6D" w14:textId="77777777" w:rsidR="008A2C71" w:rsidRPr="00E17FE7" w:rsidRDefault="008A2C71" w:rsidP="00AC1B06">
            <w:pPr>
              <w:pStyle w:val="TAC"/>
              <w:rPr>
                <w:rFonts w:eastAsia="Batang"/>
                <w:color w:val="000000"/>
                <w:lang w:val="en-GB"/>
              </w:rPr>
            </w:pPr>
            <w:r w:rsidRPr="00E17FE7">
              <w:rPr>
                <w:rFonts w:eastAsia="Batang"/>
                <w:color w:val="000000"/>
                <w:lang w:val="en-GB"/>
              </w:rPr>
              <w:t>10</w:t>
            </w:r>
          </w:p>
        </w:tc>
      </w:tr>
      <w:tr w:rsidR="008A2C71" w:rsidRPr="0048482F" w14:paraId="279F1327" w14:textId="77777777" w:rsidTr="00AC1B06">
        <w:trPr>
          <w:jc w:val="center"/>
        </w:trPr>
        <w:tc>
          <w:tcPr>
            <w:tcW w:w="828" w:type="dxa"/>
            <w:shd w:val="clear" w:color="auto" w:fill="auto"/>
          </w:tcPr>
          <w:p w14:paraId="6EF3D616" w14:textId="77777777" w:rsidR="008A2C71" w:rsidRPr="00E17FE7" w:rsidRDefault="008A2C71" w:rsidP="00AC1B06">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B690986" w14:textId="77777777" w:rsidR="008A2C71" w:rsidRPr="00E17FE7" w:rsidRDefault="008A2C71" w:rsidP="00AC1B06">
            <w:pPr>
              <w:pStyle w:val="TAC"/>
              <w:rPr>
                <w:rFonts w:eastAsia="Batang"/>
                <w:color w:val="000000"/>
                <w:lang w:val="en-GB"/>
              </w:rPr>
            </w:pPr>
            <w:r w:rsidRPr="00E17FE7">
              <w:rPr>
                <w:rFonts w:eastAsia="Batang"/>
                <w:color w:val="000000"/>
                <w:lang w:val="en-GB"/>
              </w:rPr>
              <w:t>12</w:t>
            </w:r>
          </w:p>
        </w:tc>
      </w:tr>
      <w:tr w:rsidR="008A2C71" w:rsidRPr="0048482F" w14:paraId="1E60CD9B" w14:textId="77777777" w:rsidTr="00AC1B06">
        <w:trPr>
          <w:trHeight w:val="47"/>
          <w:jc w:val="center"/>
        </w:trPr>
        <w:tc>
          <w:tcPr>
            <w:tcW w:w="828" w:type="dxa"/>
            <w:shd w:val="clear" w:color="auto" w:fill="auto"/>
          </w:tcPr>
          <w:p w14:paraId="1CAE7EDC" w14:textId="77777777" w:rsidR="008A2C71" w:rsidRPr="00E17FE7" w:rsidRDefault="008A2C71" w:rsidP="00AC1B06">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6D458088" w14:textId="77777777" w:rsidR="008A2C71" w:rsidRPr="00E17FE7" w:rsidRDefault="008A2C71" w:rsidP="00AC1B06">
            <w:pPr>
              <w:pStyle w:val="TAC"/>
              <w:rPr>
                <w:rFonts w:eastAsia="Batang"/>
                <w:color w:val="000000"/>
                <w:lang w:val="en-GB"/>
              </w:rPr>
            </w:pPr>
            <w:r w:rsidRPr="00E17FE7">
              <w:rPr>
                <w:rFonts w:eastAsia="Batang"/>
                <w:color w:val="000000"/>
                <w:lang w:val="en-GB"/>
              </w:rPr>
              <w:t>23</w:t>
            </w:r>
          </w:p>
        </w:tc>
      </w:tr>
      <w:tr w:rsidR="008A2C71" w:rsidRPr="0048482F" w14:paraId="714FDD82" w14:textId="77777777" w:rsidTr="00AC1B06">
        <w:trPr>
          <w:jc w:val="center"/>
        </w:trPr>
        <w:tc>
          <w:tcPr>
            <w:tcW w:w="828" w:type="dxa"/>
            <w:shd w:val="clear" w:color="auto" w:fill="auto"/>
          </w:tcPr>
          <w:p w14:paraId="02BC71E1" w14:textId="77777777" w:rsidR="008A2C71" w:rsidRPr="00E17FE7" w:rsidRDefault="008A2C71" w:rsidP="00AC1B06">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12696B8E" w14:textId="77777777" w:rsidR="008A2C71" w:rsidRPr="00E17FE7" w:rsidRDefault="008A2C71" w:rsidP="00AC1B06">
            <w:pPr>
              <w:pStyle w:val="TAC"/>
              <w:rPr>
                <w:rFonts w:eastAsia="Batang"/>
                <w:color w:val="000000"/>
                <w:lang w:val="en-GB"/>
              </w:rPr>
            </w:pPr>
            <w:r w:rsidRPr="00E17FE7">
              <w:rPr>
                <w:rFonts w:eastAsia="Batang"/>
                <w:color w:val="000000"/>
                <w:lang w:val="en-GB"/>
              </w:rPr>
              <w:t>36</w:t>
            </w:r>
          </w:p>
        </w:tc>
      </w:tr>
    </w:tbl>
    <w:p w14:paraId="1FF1BA8A" w14:textId="77777777" w:rsidR="008A2C71" w:rsidRDefault="008A2C71" w:rsidP="008A2C71">
      <w:pPr>
        <w:pStyle w:val="BodyText"/>
      </w:pPr>
    </w:p>
    <w:p w14:paraId="178E12C8" w14:textId="77777777" w:rsidR="008A2C71" w:rsidRDefault="008A2C71" w:rsidP="008A2C71">
      <w:pPr>
        <w:pStyle w:val="BodyText"/>
      </w:pPr>
      <w:r>
        <w:lastRenderedPageBreak/>
        <w:t xml:space="preserve">These processing latencies, in terms of number of symbols/slots, far exceed those in Rel-15, whose low latencies guide the hardware and software implementations of the </w:t>
      </w:r>
      <w:proofErr w:type="spellStart"/>
      <w:r>
        <w:t>gNBs</w:t>
      </w:r>
      <w:proofErr w:type="spellEnd"/>
      <w:r>
        <w:t xml:space="preserve"> and UEs. To deal with such large increase in processing latencies, many parts of the software and hardware implementations need to be revisited or even replaced. For instance, the amounts of RLC and HARQ layer buffering may need to scale with these increased latencies. The designs of UL/DL configurations and scheduling under such greatly increased latencies present significant obstacle to timely and economical adaptation from existing NR implementations to this frequency range. </w:t>
      </w:r>
    </w:p>
    <w:p w14:paraId="4073438B" w14:textId="77777777" w:rsidR="008A2C71" w:rsidRDefault="008A2C71" w:rsidP="008A2C71">
      <w:pPr>
        <w:pStyle w:val="BodyText"/>
      </w:pPr>
      <w:r>
        <w:t>Furthermore, comparing the system design and implementation differences between LTE-LAA and NR-U, it becomes rather clear that the low NR latencies in HARQ feedback and PUSCH scheduling present significant advantages in the unlicensed band operations. Excessively large HARQ and PUSCH latencies will complicate the designs for operating in the 60 GHz unlicensed bands.</w:t>
      </w:r>
    </w:p>
    <w:p w14:paraId="20F310E0" w14:textId="27428CAD" w:rsidR="008A2C71" w:rsidRPr="00BB4701" w:rsidRDefault="008A2C71" w:rsidP="008A2C71">
      <w:pPr>
        <w:pStyle w:val="BodyText"/>
      </w:pPr>
      <w:r>
        <w:t xml:space="preserve">Consider further the UE PDCCH processing capabilities specified in Section 10.1 of </w:t>
      </w:r>
      <w:r>
        <w:fldChar w:fldCharType="begin"/>
      </w:r>
      <w:r>
        <w:instrText xml:space="preserve"> REF _Ref39589635 \r \h </w:instrText>
      </w:r>
      <w:r>
        <w:fldChar w:fldCharType="separate"/>
      </w:r>
      <w:r w:rsidR="005A26D8">
        <w:t>[7]</w:t>
      </w:r>
      <w:r>
        <w:fldChar w:fldCharType="end"/>
      </w:r>
      <w:r>
        <w:t xml:space="preserve"> in terms of number of blind decodes in Table 10.1-2 and number of CCEs in Table 10.1-3. For both sets of PDCCH processing capabilities, the quantities </w:t>
      </w:r>
      <w:r w:rsidRPr="00085F74">
        <w:rPr>
          <w:u w:val="single"/>
        </w:rPr>
        <w:t xml:space="preserve">shrink </w:t>
      </w:r>
      <w:r w:rsidRPr="00FC21A3">
        <w:rPr>
          <w:u w:val="single"/>
        </w:rPr>
        <w:t>exponentially</w:t>
      </w:r>
      <w:r>
        <w:t xml:space="preserve"> with the numerologies. Extrapolating from these numbers, there are then doubts on whether the UE operating with a SCS larger than 960 kHz SCS can support even one AL-16 PDCCH or the default number of candidates for monitoring the Type0A-PDCCH CSS specified in Table 10.1-1.</w:t>
      </w:r>
    </w:p>
    <w:p w14:paraId="27DB3200" w14:textId="77777777" w:rsidR="008A2C71" w:rsidRPr="00B916EC" w:rsidRDefault="008A2C71" w:rsidP="008A2C71">
      <w:pPr>
        <w:pStyle w:val="TH"/>
      </w:pPr>
      <w:r>
        <w:t>Table 10.1-2</w:t>
      </w:r>
      <w:r w:rsidRPr="00B916EC">
        <w:t xml:space="preserve">: </w:t>
      </w:r>
      <w:r>
        <w:t xml:space="preserve">Maximum number </w:t>
      </w:r>
      <w:r>
        <w:rPr>
          <w:noProof/>
          <w:position w:val="-10"/>
        </w:rPr>
        <w:drawing>
          <wp:inline distT="0" distB="0" distL="0" distR="0" wp14:anchorId="0B4FF287" wp14:editId="1517D620">
            <wp:extent cx="552450" cy="2413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2450" cy="241300"/>
                    </a:xfrm>
                    <a:prstGeom prst="rect">
                      <a:avLst/>
                    </a:prstGeom>
                    <a:noFill/>
                    <a:ln>
                      <a:noFill/>
                    </a:ln>
                  </pic:spPr>
                </pic:pic>
              </a:graphicData>
            </a:graphic>
          </wp:inline>
        </w:drawing>
      </w:r>
      <w:r>
        <w:t xml:space="preserve"> of monitored PDCCH candidates per slot for a DL BWP with SCS configuration </w:t>
      </w:r>
      <w:r>
        <w:rPr>
          <w:noProof/>
          <w:position w:val="-10"/>
        </w:rPr>
        <w:drawing>
          <wp:inline distT="0" distB="0" distL="0" distR="0" wp14:anchorId="4E7E3C20" wp14:editId="5BD581CC">
            <wp:extent cx="736600" cy="1841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36600" cy="184150"/>
                    </a:xfrm>
                    <a:prstGeom prst="rect">
                      <a:avLst/>
                    </a:prstGeom>
                    <a:noFill/>
                    <a:ln>
                      <a:noFill/>
                    </a:ln>
                  </pic:spPr>
                </pic:pic>
              </a:graphicData>
            </a:graphic>
          </wp:inline>
        </w:drawing>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8A2C71" w:rsidRPr="00B916EC" w14:paraId="3062D2BC" w14:textId="77777777" w:rsidTr="6C860CA9">
        <w:trPr>
          <w:cantSplit/>
          <w:jc w:val="center"/>
        </w:trPr>
        <w:tc>
          <w:tcPr>
            <w:tcW w:w="1465" w:type="dxa"/>
            <w:shd w:val="clear" w:color="auto" w:fill="E0E0E0"/>
            <w:vAlign w:val="center"/>
          </w:tcPr>
          <w:p w14:paraId="1F19EE90" w14:textId="77777777" w:rsidR="008A2C71" w:rsidRPr="00B916EC" w:rsidRDefault="008A2C71" w:rsidP="00AC1B06">
            <w:pPr>
              <w:pStyle w:val="TAH"/>
              <w:rPr>
                <w:rFonts w:ascii="Times New Roman" w:hAnsi="Times New Roman"/>
                <w:sz w:val="20"/>
              </w:rPr>
            </w:pPr>
            <w:r>
              <w:rPr>
                <w:noProof/>
                <w:position w:val="-10"/>
              </w:rPr>
              <w:drawing>
                <wp:inline distT="0" distB="0" distL="0" distR="0" wp14:anchorId="28E157B6" wp14:editId="67EEAA78">
                  <wp:extent cx="184150" cy="18415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00" w:type="dxa"/>
            <w:shd w:val="clear" w:color="auto" w:fill="E0E0E0"/>
            <w:vAlign w:val="center"/>
          </w:tcPr>
          <w:p w14:paraId="40E1C582" w14:textId="77777777" w:rsidR="008A2C71" w:rsidRPr="00B916EC" w:rsidRDefault="008A2C71" w:rsidP="00AC1B06">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Pr>
                <w:noProof/>
                <w:position w:val="-10"/>
              </w:rPr>
              <w:drawing>
                <wp:inline distT="0" distB="0" distL="0" distR="0" wp14:anchorId="4A0EB721" wp14:editId="3194384B">
                  <wp:extent cx="552450" cy="247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p>
        </w:tc>
      </w:tr>
      <w:tr w:rsidR="008A2C71" w:rsidRPr="00B916EC" w14:paraId="24F32D9F" w14:textId="77777777" w:rsidTr="6C860CA9">
        <w:trPr>
          <w:cantSplit/>
          <w:jc w:val="center"/>
        </w:trPr>
        <w:tc>
          <w:tcPr>
            <w:tcW w:w="1465" w:type="dxa"/>
            <w:vAlign w:val="center"/>
          </w:tcPr>
          <w:p w14:paraId="5A3B4D36" w14:textId="77777777" w:rsidR="008A2C71" w:rsidRPr="00B916EC" w:rsidRDefault="008A2C71" w:rsidP="00AC1B06">
            <w:pPr>
              <w:pStyle w:val="TAC"/>
            </w:pPr>
            <w:r>
              <w:t>0</w:t>
            </w:r>
          </w:p>
        </w:tc>
        <w:tc>
          <w:tcPr>
            <w:tcW w:w="7800" w:type="dxa"/>
            <w:vAlign w:val="center"/>
          </w:tcPr>
          <w:p w14:paraId="300E056F" w14:textId="77777777" w:rsidR="008A2C71" w:rsidRPr="00B916EC" w:rsidRDefault="008A2C71" w:rsidP="00AC1B06">
            <w:pPr>
              <w:pStyle w:val="TAC"/>
            </w:pPr>
            <w:r w:rsidRPr="00B916EC">
              <w:t>4</w:t>
            </w:r>
            <w:r>
              <w:t>4</w:t>
            </w:r>
          </w:p>
        </w:tc>
      </w:tr>
      <w:tr w:rsidR="008A2C71" w:rsidRPr="00B916EC" w14:paraId="4854A80E" w14:textId="77777777" w:rsidTr="6C860CA9">
        <w:trPr>
          <w:cantSplit/>
          <w:jc w:val="center"/>
        </w:trPr>
        <w:tc>
          <w:tcPr>
            <w:tcW w:w="1465" w:type="dxa"/>
            <w:vAlign w:val="center"/>
          </w:tcPr>
          <w:p w14:paraId="2029EC61" w14:textId="77777777" w:rsidR="008A2C71" w:rsidRPr="00B916EC" w:rsidRDefault="008A2C71" w:rsidP="00AC1B06">
            <w:pPr>
              <w:pStyle w:val="TAC"/>
            </w:pPr>
            <w:r>
              <w:t>1</w:t>
            </w:r>
          </w:p>
        </w:tc>
        <w:tc>
          <w:tcPr>
            <w:tcW w:w="7800" w:type="dxa"/>
            <w:vAlign w:val="center"/>
          </w:tcPr>
          <w:p w14:paraId="035E00E3" w14:textId="77777777" w:rsidR="008A2C71" w:rsidRPr="00B916EC" w:rsidRDefault="008A2C71" w:rsidP="00AC1B06">
            <w:pPr>
              <w:pStyle w:val="TAC"/>
            </w:pPr>
            <w:r>
              <w:t>36</w:t>
            </w:r>
          </w:p>
        </w:tc>
      </w:tr>
      <w:tr w:rsidR="008A2C71" w:rsidRPr="00B916EC" w14:paraId="1BF9B066" w14:textId="77777777" w:rsidTr="6C860CA9">
        <w:trPr>
          <w:cantSplit/>
          <w:jc w:val="center"/>
        </w:trPr>
        <w:tc>
          <w:tcPr>
            <w:tcW w:w="1465" w:type="dxa"/>
            <w:vAlign w:val="center"/>
          </w:tcPr>
          <w:p w14:paraId="72C005A3" w14:textId="77777777" w:rsidR="008A2C71" w:rsidRPr="00B916EC" w:rsidRDefault="008A2C71" w:rsidP="00AC1B06">
            <w:pPr>
              <w:pStyle w:val="TAC"/>
            </w:pPr>
            <w:r>
              <w:t>2</w:t>
            </w:r>
          </w:p>
        </w:tc>
        <w:tc>
          <w:tcPr>
            <w:tcW w:w="7800" w:type="dxa"/>
            <w:vAlign w:val="center"/>
          </w:tcPr>
          <w:p w14:paraId="4BA53547" w14:textId="77777777" w:rsidR="008A2C71" w:rsidRPr="00B916EC" w:rsidRDefault="008A2C71" w:rsidP="00AC1B06">
            <w:pPr>
              <w:pStyle w:val="TAC"/>
            </w:pPr>
            <w:r>
              <w:t>22</w:t>
            </w:r>
          </w:p>
        </w:tc>
      </w:tr>
      <w:tr w:rsidR="008A2C71" w:rsidRPr="00B916EC" w14:paraId="43DEFE3D" w14:textId="77777777" w:rsidTr="6C860CA9">
        <w:trPr>
          <w:cantSplit/>
          <w:jc w:val="center"/>
        </w:trPr>
        <w:tc>
          <w:tcPr>
            <w:tcW w:w="1465" w:type="dxa"/>
            <w:vAlign w:val="center"/>
          </w:tcPr>
          <w:p w14:paraId="54F0F718" w14:textId="77777777" w:rsidR="008A2C71" w:rsidRDefault="008A2C71" w:rsidP="00AC1B06">
            <w:pPr>
              <w:pStyle w:val="TAC"/>
            </w:pPr>
            <w:r>
              <w:t>3</w:t>
            </w:r>
          </w:p>
        </w:tc>
        <w:tc>
          <w:tcPr>
            <w:tcW w:w="7800" w:type="dxa"/>
            <w:vAlign w:val="center"/>
          </w:tcPr>
          <w:p w14:paraId="3B443CD8" w14:textId="77777777" w:rsidR="008A2C71" w:rsidRDefault="008A2C71" w:rsidP="00AC1B06">
            <w:pPr>
              <w:pStyle w:val="TAC"/>
            </w:pPr>
            <w:r>
              <w:t>20</w:t>
            </w:r>
          </w:p>
        </w:tc>
      </w:tr>
    </w:tbl>
    <w:p w14:paraId="5CCC46D8" w14:textId="77777777" w:rsidR="008A2C71" w:rsidRDefault="008A2C71" w:rsidP="008A2C71">
      <w:pPr>
        <w:pStyle w:val="BodyText"/>
      </w:pPr>
    </w:p>
    <w:p w14:paraId="23C6C0C2" w14:textId="77777777" w:rsidR="008A2C71" w:rsidRPr="00B916EC" w:rsidRDefault="008A2C71" w:rsidP="008A2C71">
      <w:pPr>
        <w:pStyle w:val="TH"/>
      </w:pPr>
      <w:r>
        <w:t>Table 10.1-3</w:t>
      </w:r>
      <w:r w:rsidRPr="00B916EC">
        <w:t xml:space="preserve">: </w:t>
      </w:r>
      <w:r>
        <w:t xml:space="preserve">Maximum number </w:t>
      </w:r>
      <w:r>
        <w:rPr>
          <w:noProof/>
          <w:position w:val="-10"/>
        </w:rPr>
        <w:drawing>
          <wp:inline distT="0" distB="0" distL="0" distR="0" wp14:anchorId="1E405DC7" wp14:editId="265A6E8A">
            <wp:extent cx="488950" cy="24130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r>
        <w:t xml:space="preserve"> of non-overlapped CCEs per slot for a DL BWP with SCS configuration </w:t>
      </w:r>
      <w:r>
        <w:rPr>
          <w:noProof/>
          <w:position w:val="-10"/>
        </w:rPr>
        <w:drawing>
          <wp:inline distT="0" distB="0" distL="0" distR="0" wp14:anchorId="764F7667" wp14:editId="617E3830">
            <wp:extent cx="736600" cy="1841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36600" cy="184150"/>
                    </a:xfrm>
                    <a:prstGeom prst="rect">
                      <a:avLst/>
                    </a:prstGeom>
                    <a:noFill/>
                    <a:ln>
                      <a:noFill/>
                    </a:ln>
                  </pic:spPr>
                </pic:pic>
              </a:graphicData>
            </a:graphic>
          </wp:inline>
        </w:drawing>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8A2C71" w:rsidRPr="00BB208D" w14:paraId="0E53CAB9" w14:textId="77777777" w:rsidTr="6C860CA9">
        <w:trPr>
          <w:cantSplit/>
          <w:jc w:val="center"/>
        </w:trPr>
        <w:tc>
          <w:tcPr>
            <w:tcW w:w="1465" w:type="dxa"/>
            <w:shd w:val="clear" w:color="auto" w:fill="E0E0E0"/>
            <w:vAlign w:val="center"/>
          </w:tcPr>
          <w:p w14:paraId="1ADDA8B9" w14:textId="77777777" w:rsidR="008A2C71" w:rsidRPr="00B916EC" w:rsidRDefault="008A2C71" w:rsidP="00AC1B06">
            <w:pPr>
              <w:pStyle w:val="TAH"/>
              <w:rPr>
                <w:rFonts w:ascii="Times New Roman" w:hAnsi="Times New Roman"/>
                <w:sz w:val="20"/>
              </w:rPr>
            </w:pPr>
            <w:r>
              <w:rPr>
                <w:noProof/>
                <w:position w:val="-10"/>
              </w:rPr>
              <w:drawing>
                <wp:inline distT="0" distB="0" distL="0" distR="0" wp14:anchorId="423E837F" wp14:editId="734774DA">
                  <wp:extent cx="184150" cy="18415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170" w:type="dxa"/>
            <w:shd w:val="clear" w:color="auto" w:fill="E0E0E0"/>
            <w:vAlign w:val="center"/>
          </w:tcPr>
          <w:p w14:paraId="449E774E" w14:textId="77777777" w:rsidR="008A2C71" w:rsidRPr="00B916EC" w:rsidRDefault="008A2C71" w:rsidP="00AC1B06">
            <w:pPr>
              <w:pStyle w:val="TAH"/>
              <w:rPr>
                <w:rFonts w:ascii="Times New Roman" w:hAnsi="Times New Roman"/>
                <w:sz w:val="20"/>
              </w:rPr>
            </w:pPr>
            <w:r>
              <w:t>Maximum n</w:t>
            </w:r>
            <w:r w:rsidRPr="00B916EC">
              <w:t xml:space="preserve">umber of </w:t>
            </w:r>
            <w:r>
              <w:t xml:space="preserve">non-overlapped CCEs per slot and per serving cell </w:t>
            </w:r>
            <w:r>
              <w:rPr>
                <w:noProof/>
                <w:position w:val="-10"/>
              </w:rPr>
              <w:drawing>
                <wp:inline distT="0" distB="0" distL="0" distR="0" wp14:anchorId="175AC79C" wp14:editId="10A85B41">
                  <wp:extent cx="488950" cy="2476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8950" cy="247650"/>
                          </a:xfrm>
                          <a:prstGeom prst="rect">
                            <a:avLst/>
                          </a:prstGeom>
                          <a:noFill/>
                          <a:ln>
                            <a:noFill/>
                          </a:ln>
                        </pic:spPr>
                      </pic:pic>
                    </a:graphicData>
                  </a:graphic>
                </wp:inline>
              </w:drawing>
            </w:r>
          </w:p>
        </w:tc>
      </w:tr>
      <w:tr w:rsidR="008A2C71" w:rsidRPr="00BB208D" w14:paraId="24016C7C" w14:textId="77777777" w:rsidTr="6C860CA9">
        <w:trPr>
          <w:cantSplit/>
          <w:jc w:val="center"/>
        </w:trPr>
        <w:tc>
          <w:tcPr>
            <w:tcW w:w="1465" w:type="dxa"/>
            <w:vAlign w:val="center"/>
          </w:tcPr>
          <w:p w14:paraId="3F94D773" w14:textId="77777777" w:rsidR="008A2C71" w:rsidRPr="00B916EC" w:rsidRDefault="008A2C71" w:rsidP="00AC1B06">
            <w:pPr>
              <w:pStyle w:val="TAC"/>
            </w:pPr>
            <w:r>
              <w:t>0</w:t>
            </w:r>
          </w:p>
        </w:tc>
        <w:tc>
          <w:tcPr>
            <w:tcW w:w="7170" w:type="dxa"/>
            <w:vAlign w:val="center"/>
          </w:tcPr>
          <w:p w14:paraId="4C1A321D" w14:textId="77777777" w:rsidR="008A2C71" w:rsidRPr="00B916EC" w:rsidRDefault="008A2C71" w:rsidP="00AC1B06">
            <w:pPr>
              <w:pStyle w:val="TAC"/>
            </w:pPr>
            <w:r>
              <w:t>56</w:t>
            </w:r>
          </w:p>
        </w:tc>
      </w:tr>
      <w:tr w:rsidR="008A2C71" w:rsidRPr="00BB208D" w14:paraId="02966513" w14:textId="77777777" w:rsidTr="6C860CA9">
        <w:trPr>
          <w:cantSplit/>
          <w:jc w:val="center"/>
        </w:trPr>
        <w:tc>
          <w:tcPr>
            <w:tcW w:w="1465" w:type="dxa"/>
            <w:vAlign w:val="center"/>
          </w:tcPr>
          <w:p w14:paraId="65ABA4BD" w14:textId="77777777" w:rsidR="008A2C71" w:rsidRPr="00B916EC" w:rsidRDefault="008A2C71" w:rsidP="00AC1B06">
            <w:pPr>
              <w:pStyle w:val="TAC"/>
            </w:pPr>
            <w:r>
              <w:t>1</w:t>
            </w:r>
          </w:p>
        </w:tc>
        <w:tc>
          <w:tcPr>
            <w:tcW w:w="7170" w:type="dxa"/>
            <w:vAlign w:val="center"/>
          </w:tcPr>
          <w:p w14:paraId="04DBE2BF" w14:textId="77777777" w:rsidR="008A2C71" w:rsidRPr="00B916EC" w:rsidRDefault="008A2C71" w:rsidP="00AC1B06">
            <w:pPr>
              <w:pStyle w:val="TAC"/>
            </w:pPr>
            <w:r>
              <w:t>56</w:t>
            </w:r>
          </w:p>
        </w:tc>
      </w:tr>
      <w:tr w:rsidR="008A2C71" w:rsidRPr="00BB208D" w14:paraId="275085D5" w14:textId="77777777" w:rsidTr="6C860CA9">
        <w:trPr>
          <w:cantSplit/>
          <w:jc w:val="center"/>
        </w:trPr>
        <w:tc>
          <w:tcPr>
            <w:tcW w:w="1465" w:type="dxa"/>
            <w:vAlign w:val="center"/>
          </w:tcPr>
          <w:p w14:paraId="5EB03968" w14:textId="77777777" w:rsidR="008A2C71" w:rsidRPr="00B916EC" w:rsidRDefault="008A2C71" w:rsidP="00AC1B06">
            <w:pPr>
              <w:pStyle w:val="TAC"/>
            </w:pPr>
            <w:r>
              <w:t>2</w:t>
            </w:r>
          </w:p>
        </w:tc>
        <w:tc>
          <w:tcPr>
            <w:tcW w:w="7170" w:type="dxa"/>
            <w:vAlign w:val="center"/>
          </w:tcPr>
          <w:p w14:paraId="29972AC5" w14:textId="77777777" w:rsidR="008A2C71" w:rsidRPr="00B916EC" w:rsidRDefault="008A2C71" w:rsidP="00AC1B06">
            <w:pPr>
              <w:pStyle w:val="TAC"/>
            </w:pPr>
            <w:r>
              <w:t>48</w:t>
            </w:r>
          </w:p>
        </w:tc>
      </w:tr>
      <w:tr w:rsidR="008A2C71" w:rsidRPr="00BB208D" w14:paraId="43DE5803" w14:textId="77777777" w:rsidTr="6C860CA9">
        <w:trPr>
          <w:cantSplit/>
          <w:jc w:val="center"/>
        </w:trPr>
        <w:tc>
          <w:tcPr>
            <w:tcW w:w="1465" w:type="dxa"/>
            <w:vAlign w:val="center"/>
          </w:tcPr>
          <w:p w14:paraId="572B140B" w14:textId="77777777" w:rsidR="008A2C71" w:rsidRDefault="008A2C71" w:rsidP="00AC1B06">
            <w:pPr>
              <w:pStyle w:val="TAC"/>
            </w:pPr>
            <w:r>
              <w:t>3</w:t>
            </w:r>
          </w:p>
        </w:tc>
        <w:tc>
          <w:tcPr>
            <w:tcW w:w="7170" w:type="dxa"/>
            <w:vAlign w:val="center"/>
          </w:tcPr>
          <w:p w14:paraId="2AACD7C5" w14:textId="77777777" w:rsidR="008A2C71" w:rsidRDefault="008A2C71" w:rsidP="00AC1B06">
            <w:pPr>
              <w:pStyle w:val="TAC"/>
            </w:pPr>
            <w:r>
              <w:t>32</w:t>
            </w:r>
          </w:p>
        </w:tc>
      </w:tr>
    </w:tbl>
    <w:p w14:paraId="43E354D0" w14:textId="77777777" w:rsidR="008A2C71" w:rsidRDefault="008A2C71" w:rsidP="008A2C71">
      <w:pPr>
        <w:pStyle w:val="BodyText"/>
      </w:pPr>
    </w:p>
    <w:p w14:paraId="033994B8" w14:textId="77777777" w:rsidR="008A2C71" w:rsidRPr="00B916EC" w:rsidRDefault="008A2C71" w:rsidP="008A2C71">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8A2C71" w:rsidRPr="00B916EC" w14:paraId="5F8DC83B" w14:textId="77777777" w:rsidTr="00AC1B06">
        <w:trPr>
          <w:cantSplit/>
          <w:jc w:val="center"/>
        </w:trPr>
        <w:tc>
          <w:tcPr>
            <w:tcW w:w="2995" w:type="dxa"/>
            <w:shd w:val="clear" w:color="auto" w:fill="E0E0E0"/>
            <w:vAlign w:val="center"/>
          </w:tcPr>
          <w:p w14:paraId="530B1290" w14:textId="77777777" w:rsidR="008A2C71" w:rsidRPr="00B916EC" w:rsidRDefault="008A2C71" w:rsidP="00AC1B06">
            <w:pPr>
              <w:pStyle w:val="TAH"/>
              <w:rPr>
                <w:rFonts w:ascii="Times New Roman" w:hAnsi="Times New Roman"/>
                <w:sz w:val="20"/>
              </w:rPr>
            </w:pPr>
            <w:r w:rsidRPr="00B916EC">
              <w:t>CCE Aggregation Level</w:t>
            </w:r>
          </w:p>
        </w:tc>
        <w:tc>
          <w:tcPr>
            <w:tcW w:w="3096" w:type="dxa"/>
            <w:shd w:val="clear" w:color="auto" w:fill="E0E0E0"/>
            <w:vAlign w:val="center"/>
          </w:tcPr>
          <w:p w14:paraId="6AD3EF3C" w14:textId="77777777" w:rsidR="008A2C71" w:rsidRPr="00B916EC" w:rsidRDefault="008A2C71" w:rsidP="00AC1B06">
            <w:pPr>
              <w:pStyle w:val="TAH"/>
              <w:rPr>
                <w:rFonts w:ascii="Times New Roman" w:hAnsi="Times New Roman"/>
                <w:sz w:val="20"/>
              </w:rPr>
            </w:pPr>
            <w:r w:rsidRPr="00B916EC">
              <w:t>Number of Candidates</w:t>
            </w:r>
          </w:p>
        </w:tc>
      </w:tr>
      <w:tr w:rsidR="008A2C71" w:rsidRPr="00B916EC" w14:paraId="1CE67CA9" w14:textId="77777777" w:rsidTr="00AC1B06">
        <w:trPr>
          <w:cantSplit/>
          <w:jc w:val="center"/>
        </w:trPr>
        <w:tc>
          <w:tcPr>
            <w:tcW w:w="2995" w:type="dxa"/>
            <w:vAlign w:val="center"/>
          </w:tcPr>
          <w:p w14:paraId="5D476DF4" w14:textId="77777777" w:rsidR="008A2C71" w:rsidRPr="00B916EC" w:rsidRDefault="008A2C71" w:rsidP="00AC1B06">
            <w:pPr>
              <w:pStyle w:val="TAC"/>
            </w:pPr>
            <w:r w:rsidRPr="00B916EC">
              <w:t>4</w:t>
            </w:r>
          </w:p>
        </w:tc>
        <w:tc>
          <w:tcPr>
            <w:tcW w:w="3096" w:type="dxa"/>
            <w:vAlign w:val="center"/>
          </w:tcPr>
          <w:p w14:paraId="18520069" w14:textId="77777777" w:rsidR="008A2C71" w:rsidRPr="00B916EC" w:rsidRDefault="008A2C71" w:rsidP="00AC1B06">
            <w:pPr>
              <w:pStyle w:val="TAC"/>
            </w:pPr>
            <w:r w:rsidRPr="00B916EC">
              <w:t>4</w:t>
            </w:r>
          </w:p>
        </w:tc>
      </w:tr>
      <w:tr w:rsidR="008A2C71" w:rsidRPr="00B916EC" w14:paraId="1FCD24FD" w14:textId="77777777" w:rsidTr="00AC1B06">
        <w:trPr>
          <w:cantSplit/>
          <w:jc w:val="center"/>
        </w:trPr>
        <w:tc>
          <w:tcPr>
            <w:tcW w:w="2995" w:type="dxa"/>
            <w:vAlign w:val="center"/>
          </w:tcPr>
          <w:p w14:paraId="514921EE" w14:textId="77777777" w:rsidR="008A2C71" w:rsidRPr="00B916EC" w:rsidRDefault="008A2C71" w:rsidP="00AC1B06">
            <w:pPr>
              <w:pStyle w:val="TAC"/>
            </w:pPr>
            <w:r w:rsidRPr="00B916EC">
              <w:t>8</w:t>
            </w:r>
          </w:p>
        </w:tc>
        <w:tc>
          <w:tcPr>
            <w:tcW w:w="3096" w:type="dxa"/>
            <w:vAlign w:val="center"/>
          </w:tcPr>
          <w:p w14:paraId="7DA78CB0" w14:textId="77777777" w:rsidR="008A2C71" w:rsidRPr="00B916EC" w:rsidRDefault="008A2C71" w:rsidP="00AC1B06">
            <w:pPr>
              <w:pStyle w:val="TAC"/>
            </w:pPr>
            <w:r w:rsidRPr="00B916EC">
              <w:t>2</w:t>
            </w:r>
          </w:p>
        </w:tc>
      </w:tr>
      <w:tr w:rsidR="008A2C71" w:rsidRPr="00B916EC" w14:paraId="6F478D6D" w14:textId="77777777" w:rsidTr="00AC1B06">
        <w:trPr>
          <w:cantSplit/>
          <w:jc w:val="center"/>
        </w:trPr>
        <w:tc>
          <w:tcPr>
            <w:tcW w:w="2995" w:type="dxa"/>
            <w:vAlign w:val="center"/>
          </w:tcPr>
          <w:p w14:paraId="1C10CADD" w14:textId="77777777" w:rsidR="008A2C71" w:rsidRPr="00B916EC" w:rsidRDefault="008A2C71" w:rsidP="00AC1B06">
            <w:pPr>
              <w:pStyle w:val="TAC"/>
            </w:pPr>
            <w:r w:rsidRPr="00B916EC">
              <w:t>16</w:t>
            </w:r>
          </w:p>
        </w:tc>
        <w:tc>
          <w:tcPr>
            <w:tcW w:w="3096" w:type="dxa"/>
            <w:vAlign w:val="center"/>
          </w:tcPr>
          <w:p w14:paraId="4B4348AA" w14:textId="77777777" w:rsidR="008A2C71" w:rsidRPr="00B916EC" w:rsidRDefault="008A2C71" w:rsidP="00AC1B06">
            <w:pPr>
              <w:pStyle w:val="TAC"/>
            </w:pPr>
            <w:r>
              <w:t>1</w:t>
            </w:r>
          </w:p>
        </w:tc>
      </w:tr>
    </w:tbl>
    <w:p w14:paraId="27098F7A" w14:textId="77777777" w:rsidR="008A2C71" w:rsidRDefault="008A2C71" w:rsidP="008A2C71">
      <w:pPr>
        <w:pStyle w:val="BodyText"/>
      </w:pPr>
    </w:p>
    <w:p w14:paraId="34D1FEFB" w14:textId="77777777" w:rsidR="008A2C71" w:rsidRDefault="008A2C71" w:rsidP="008A2C71">
      <w:pPr>
        <w:pStyle w:val="BodyText"/>
      </w:pPr>
      <w:r>
        <w:t>In summary, the expected increases in processing latencies and decreases in processing capabilities associated with large SCS are important factors that should be an integral part of selecting the suitable SCS for NR operations in the 52.6 – 71 GHz frequency range. The processing latency and capability issues raised in this section should be extensively discussed already during the SI phase and cannot deferred until the WI phase.</w:t>
      </w:r>
    </w:p>
    <w:p w14:paraId="21D0544C" w14:textId="77777777" w:rsidR="008A1BF3" w:rsidRDefault="008A1BF3" w:rsidP="008A2C71">
      <w:pPr>
        <w:pStyle w:val="BodyText"/>
      </w:pPr>
    </w:p>
    <w:p w14:paraId="0B5DF176" w14:textId="77777777" w:rsidR="008A2C71" w:rsidRPr="00CE0424" w:rsidRDefault="008A2C71" w:rsidP="008A2C71">
      <w:pPr>
        <w:pStyle w:val="Heading1"/>
      </w:pPr>
      <w:r w:rsidRPr="00CE0424">
        <w:t>Conclusion</w:t>
      </w:r>
    </w:p>
    <w:p w14:paraId="2692C6BC" w14:textId="13A1462C" w:rsidR="0045085E" w:rsidRDefault="00565E01" w:rsidP="008A2C71">
      <w:pPr>
        <w:pStyle w:val="BodyText"/>
      </w:pPr>
      <w:r>
        <w:t xml:space="preserve">The analysis in this paper has clearly demonstrated that selection of numerology (SCS, NCP/ECP) for operation in the 52.6 – 71 GHz frequency range results in various trade-offs that need to be carefully considered. On the one hand, considering only addressable system bandwidth and phase noise impairments, </w:t>
      </w:r>
      <w:r>
        <w:lastRenderedPageBreak/>
        <w:t xml:space="preserve">one might opt for a rather large SCS, although we have shown that good performance in the face of phase noise can be obtained even without excessively large SCS (1920, 3840 </w:t>
      </w:r>
      <w:r w:rsidR="003B01B5">
        <w:t>k</w:t>
      </w:r>
      <w:r>
        <w:t>Hz). Furthermore, up to 3.2 GHz system bandwidth can be achieved without such large SCS. On the other hand, when considering the important system characteristi</w:t>
      </w:r>
      <w:bookmarkStart w:id="17" w:name="_GoBack"/>
      <w:bookmarkEnd w:id="17"/>
      <w:r>
        <w:t>cs of coverage in a diversity of deployment scenarios</w:t>
      </w:r>
      <w:r w:rsidR="005224BB">
        <w:t>, re</w:t>
      </w:r>
      <w:r w:rsidR="006253C2">
        <w:t>sistance to ISI issues caused by channel dispersion</w:t>
      </w:r>
      <w:r>
        <w:t xml:space="preserve"> and achievable data rates considering CP overhead, one would opt for more moderate SCS (480, 960 </w:t>
      </w:r>
      <w:r w:rsidR="00415D94">
        <w:t>k</w:t>
      </w:r>
      <w:r>
        <w:t>Hz).</w:t>
      </w:r>
    </w:p>
    <w:p w14:paraId="41DB4DED" w14:textId="149C1968" w:rsidR="00565E01" w:rsidRDefault="00565E01" w:rsidP="008A2C71">
      <w:pPr>
        <w:pStyle w:val="BodyText"/>
      </w:pPr>
      <w:r>
        <w:t xml:space="preserve">We have also demonstrated </w:t>
      </w:r>
      <w:r w:rsidR="0045085E">
        <w:t>that it is vital</w:t>
      </w:r>
      <w:r>
        <w:t xml:space="preserve"> to consider processing time issues </w:t>
      </w:r>
      <w:r w:rsidR="0045085E">
        <w:t>even during the SI</w:t>
      </w:r>
      <w:r>
        <w:t xml:space="preserve"> when considering selection of numerology. </w:t>
      </w:r>
      <w:r w:rsidR="0045085E">
        <w:t xml:space="preserve">This discussion should not wait until the WI. </w:t>
      </w:r>
      <w:r>
        <w:t xml:space="preserve">Extrapolating from currently defined processing capabilities </w:t>
      </w:r>
      <w:r w:rsidR="0045085E">
        <w:t xml:space="preserve">in Rel-15 </w:t>
      </w:r>
      <w:r>
        <w:t>(e.g., N1, N2, BD/CCE budgets) to larger subcarrier spacings, it becomes immediately clear that</w:t>
      </w:r>
      <w:r w:rsidR="0045085E">
        <w:t xml:space="preserve"> large SCS present challenges in terms of increased latencies that affect both hardware and software implementations, e.g., in terms of  HARQ/RLC buffering, decreased PDCCH processing capability, etc.</w:t>
      </w:r>
    </w:p>
    <w:p w14:paraId="0DAA079B" w14:textId="315C8188" w:rsidR="00257C51" w:rsidRDefault="00257C51" w:rsidP="008A2C71">
      <w:pPr>
        <w:pStyle w:val="BodyText"/>
      </w:pPr>
      <w:r>
        <w:t>Furthermore,</w:t>
      </w:r>
      <w:r w:rsidR="00560D71">
        <w:t xml:space="preserve"> we believe strongly in the</w:t>
      </w:r>
      <w:r w:rsidR="00464612">
        <w:t xml:space="preserve"> importan</w:t>
      </w:r>
      <w:r w:rsidR="00560D71">
        <w:t>ce</w:t>
      </w:r>
      <w:r w:rsidR="00464612">
        <w:t xml:space="preserve"> </w:t>
      </w:r>
      <w:r w:rsidR="00560D71">
        <w:t xml:space="preserve">of </w:t>
      </w:r>
      <w:r w:rsidR="00AB1ED3">
        <w:t>adopt</w:t>
      </w:r>
      <w:r w:rsidR="00560D71">
        <w:t>ing</w:t>
      </w:r>
      <w:r w:rsidR="00AB1ED3">
        <w:t xml:space="preserve"> </w:t>
      </w:r>
      <w:r w:rsidR="00C977F8">
        <w:t xml:space="preserve">realistic </w:t>
      </w:r>
      <w:r w:rsidR="005D2B8C">
        <w:t xml:space="preserve">gNB and UE array </w:t>
      </w:r>
      <w:r w:rsidR="009E2A04">
        <w:t xml:space="preserve">setup assumptions </w:t>
      </w:r>
      <w:r w:rsidR="00EA7DFB">
        <w:t xml:space="preserve">for </w:t>
      </w:r>
      <w:r w:rsidR="00F16113">
        <w:t xml:space="preserve">prospective use scenarios </w:t>
      </w:r>
      <w:r w:rsidR="00B82017">
        <w:t xml:space="preserve">in </w:t>
      </w:r>
      <w:r w:rsidR="00584AE7">
        <w:t xml:space="preserve">the </w:t>
      </w:r>
      <w:r w:rsidR="00B82017">
        <w:t>quantitative evaluation of different design</w:t>
      </w:r>
      <w:r w:rsidR="00261452">
        <w:t xml:space="preserve"> options</w:t>
      </w:r>
      <w:r w:rsidR="00BC10BE">
        <w:t xml:space="preserve"> for NR operation in the 52.6 – 71 GHz frequency range.</w:t>
      </w:r>
      <w:r w:rsidR="00BB67EE">
        <w:t xml:space="preserve"> </w:t>
      </w:r>
      <w:r w:rsidR="00B22A17">
        <w:t>As a baseline</w:t>
      </w:r>
      <w:r w:rsidR="00BB67EE">
        <w:t xml:space="preserve">, we recommend </w:t>
      </w:r>
      <w:r w:rsidR="001972D4">
        <w:t xml:space="preserve">gNB array size up to 4x8 </w:t>
      </w:r>
      <w:r w:rsidR="009E47C8">
        <w:t>and UE array size up to 2x2 per polarization.</w:t>
      </w:r>
      <w:r w:rsidR="00615842">
        <w:t xml:space="preserve"> </w:t>
      </w:r>
      <w:r w:rsidR="00EB16A1">
        <w:t>Further recommendations are listed Annex A and Annex B.</w:t>
      </w:r>
    </w:p>
    <w:p w14:paraId="38A6F6F5" w14:textId="77777777" w:rsidR="008A1BF3" w:rsidRDefault="008A1BF3" w:rsidP="008A2C71">
      <w:pPr>
        <w:pStyle w:val="BodyText"/>
      </w:pPr>
    </w:p>
    <w:p w14:paraId="0832381A" w14:textId="499BC300" w:rsidR="008A2C71" w:rsidRPr="00CE0424" w:rsidRDefault="008A2C71" w:rsidP="008A2C71">
      <w:pPr>
        <w:pStyle w:val="Heading1"/>
      </w:pPr>
      <w:bookmarkStart w:id="18" w:name="_In-sequence_SDU_delivery"/>
      <w:bookmarkEnd w:id="18"/>
      <w:r w:rsidRPr="00CE0424">
        <w:t>References</w:t>
      </w:r>
    </w:p>
    <w:p w14:paraId="099EE28A" w14:textId="77777777" w:rsidR="008A2C71" w:rsidRPr="00EA0A41" w:rsidRDefault="008A2C71" w:rsidP="008A2C71">
      <w:pPr>
        <w:pStyle w:val="Reference"/>
      </w:pPr>
      <w:bookmarkStart w:id="19" w:name="_Ref37858330"/>
      <w:bookmarkStart w:id="20" w:name="_Ref37858016"/>
      <w:bookmarkStart w:id="21" w:name="_Ref174151459"/>
      <w:bookmarkStart w:id="22" w:name="_Ref189809556"/>
      <w:r w:rsidRPr="00EA0A41">
        <w:t>TR 38.807, Study on requirements for NR beyond 52.6 GHz, v.1.0.0</w:t>
      </w:r>
      <w:bookmarkEnd w:id="19"/>
    </w:p>
    <w:p w14:paraId="2F65783D" w14:textId="77777777" w:rsidR="008A2C71" w:rsidRPr="00EA0A41" w:rsidRDefault="008A2C71" w:rsidP="008A2C71">
      <w:pPr>
        <w:pStyle w:val="Reference"/>
      </w:pPr>
      <w:bookmarkStart w:id="23" w:name="_Ref37859208"/>
      <w:r w:rsidRPr="00EA0A41">
        <w:t>RP-193259, New SID: Study on supporting NR from 52.6GHz to 71 GHz</w:t>
      </w:r>
      <w:bookmarkEnd w:id="20"/>
      <w:bookmarkEnd w:id="23"/>
    </w:p>
    <w:p w14:paraId="62C28729" w14:textId="77777777" w:rsidR="008A2C71" w:rsidRPr="00EA0A41" w:rsidRDefault="008A2C71" w:rsidP="008A2C71">
      <w:pPr>
        <w:pStyle w:val="Reference"/>
      </w:pPr>
      <w:bookmarkStart w:id="24" w:name="_Ref37858025"/>
      <w:r w:rsidRPr="00EA0A41">
        <w:t>RP-193229, New WID on Extending current NR operation to 71 GHz</w:t>
      </w:r>
      <w:bookmarkEnd w:id="24"/>
    </w:p>
    <w:p w14:paraId="5BC82947" w14:textId="77777777" w:rsidR="008A2C71" w:rsidRPr="00EA0A41" w:rsidRDefault="008A2C71" w:rsidP="008A2C71">
      <w:pPr>
        <w:pStyle w:val="Reference"/>
      </w:pPr>
      <w:bookmarkStart w:id="25" w:name="_Ref39243485"/>
      <w:bookmarkStart w:id="26" w:name="_Ref39243405"/>
      <w:r w:rsidRPr="00EA0A41">
        <w:t xml:space="preserve">TR 38.901, </w:t>
      </w:r>
      <w:r w:rsidRPr="00EA0A41">
        <w:rPr>
          <w:lang w:eastAsia="ko-KR"/>
        </w:rPr>
        <w:t>Study on channel model for frequencies from 0.5 to 100 GHz</w:t>
      </w:r>
      <w:bookmarkEnd w:id="25"/>
    </w:p>
    <w:p w14:paraId="28E46C86" w14:textId="77777777" w:rsidR="008A2C71" w:rsidRPr="00EA0A41" w:rsidRDefault="008A2C71" w:rsidP="008A2C71">
      <w:pPr>
        <w:pStyle w:val="Reference"/>
      </w:pPr>
      <w:bookmarkStart w:id="27" w:name="_Ref39243463"/>
      <w:r w:rsidRPr="00EA0A41">
        <w:t xml:space="preserve">A. </w:t>
      </w:r>
      <w:proofErr w:type="spellStart"/>
      <w:r w:rsidRPr="00EA0A41">
        <w:t>Simonsson</w:t>
      </w:r>
      <w:proofErr w:type="spellEnd"/>
      <w:r w:rsidRPr="00EA0A41">
        <w:t>, H. Asplund, J. Medbo and K. Werner, "Beamforming Impact on Time Dispersion Assessed on Measured Channels," 2018 IEEE 87th Vehicular Technology Conference (VTC Spring), Porto, 2018, pp. 1-6.</w:t>
      </w:r>
      <w:bookmarkEnd w:id="26"/>
      <w:bookmarkEnd w:id="27"/>
    </w:p>
    <w:p w14:paraId="5E242173" w14:textId="77777777" w:rsidR="008A2C71" w:rsidRDefault="008A2C71" w:rsidP="008A2C71">
      <w:pPr>
        <w:pStyle w:val="Reference"/>
      </w:pPr>
      <w:bookmarkStart w:id="28" w:name="_Ref39586750"/>
      <w:r>
        <w:t xml:space="preserve">TS 38.214, </w:t>
      </w:r>
      <w:r w:rsidRPr="00F51238">
        <w:t>Physical layer procedures for data</w:t>
      </w:r>
      <w:r>
        <w:t>.</w:t>
      </w:r>
      <w:bookmarkEnd w:id="28"/>
    </w:p>
    <w:p w14:paraId="2B2431A3" w14:textId="77777777" w:rsidR="008A2C71" w:rsidRDefault="008A2C71" w:rsidP="008A2C71">
      <w:pPr>
        <w:pStyle w:val="Reference"/>
      </w:pPr>
      <w:bookmarkStart w:id="29" w:name="_Ref39589635"/>
      <w:r>
        <w:t xml:space="preserve">TS 38.213, </w:t>
      </w:r>
      <w:r w:rsidRPr="00D11F23">
        <w:t xml:space="preserve">Physical layer procedures for </w:t>
      </w:r>
      <w:r>
        <w:t>control.</w:t>
      </w:r>
      <w:bookmarkEnd w:id="29"/>
    </w:p>
    <w:p w14:paraId="26911388" w14:textId="77777777" w:rsidR="008A2C71" w:rsidRDefault="008A2C71" w:rsidP="008A2C71">
      <w:pPr>
        <w:pStyle w:val="Reference"/>
      </w:pPr>
      <w:bookmarkStart w:id="30" w:name="_Ref39673732"/>
      <w:r>
        <w:t>TR 38.803, Study on new radio access technology: Radio Frequency (RF) and co-existence aspects.</w:t>
      </w:r>
      <w:bookmarkEnd w:id="30"/>
    </w:p>
    <w:p w14:paraId="26A70FAA" w14:textId="77777777" w:rsidR="008A2C71" w:rsidRDefault="008A2C71" w:rsidP="008A2C71">
      <w:pPr>
        <w:pStyle w:val="Reference"/>
      </w:pPr>
      <w:bookmarkStart w:id="31" w:name="_Ref40173942"/>
      <w:r w:rsidRPr="00780D54">
        <w:t>“ERC Recommendation 70-03, relating to the use of Short Range Devices (SRD)”, Edition of June 2019, CEPT ECC</w:t>
      </w:r>
      <w:bookmarkEnd w:id="31"/>
    </w:p>
    <w:p w14:paraId="7210BCA1" w14:textId="77777777" w:rsidR="008A2C71" w:rsidRDefault="008A2C71" w:rsidP="008A2C71">
      <w:pPr>
        <w:pStyle w:val="Reference"/>
      </w:pPr>
      <w:bookmarkStart w:id="32" w:name="_Ref40173974"/>
      <w:r w:rsidRPr="003934B8">
        <w:t>ECC (20)057-A01 Mandate to CEPT on mm-wave bands</w:t>
      </w:r>
      <w:bookmarkEnd w:id="32"/>
    </w:p>
    <w:p w14:paraId="07215E75" w14:textId="45227C5E" w:rsidR="008A2C71" w:rsidRPr="003934B8" w:rsidRDefault="008A2C71" w:rsidP="008A2C71">
      <w:pPr>
        <w:pStyle w:val="Reference"/>
      </w:pPr>
      <w:bookmarkStart w:id="33" w:name="_Ref40274964"/>
      <w:r w:rsidRPr="00FB6421">
        <w:t>R1-20</w:t>
      </w:r>
      <w:r w:rsidR="00AA03E8" w:rsidRPr="00FB6421">
        <w:t>03851</w:t>
      </w:r>
      <w:r>
        <w:t>, Enhanced phase noise modelling, Ericsson.</w:t>
      </w:r>
      <w:bookmarkEnd w:id="33"/>
    </w:p>
    <w:bookmarkStart w:id="34" w:name="_Ref40272835"/>
    <w:p w14:paraId="26316C9F" w14:textId="77777777" w:rsidR="008A2C71" w:rsidRPr="00514150" w:rsidRDefault="008A2C71" w:rsidP="008A2C71">
      <w:pPr>
        <w:pStyle w:val="Reference"/>
      </w:pPr>
      <w:r>
        <w:rPr>
          <w:lang w:val="en-GB"/>
        </w:rPr>
        <w:fldChar w:fldCharType="begin"/>
      </w:r>
      <w:r>
        <w:instrText xml:space="preserve"> HYPERLINK "https://web.archive.org/web/20140823221003/http:/cp.literature.agilent.com/litweb/pdf/5990-9697EN.pdf" </w:instrText>
      </w:r>
      <w:r>
        <w:rPr>
          <w:lang w:val="en-GB"/>
        </w:rPr>
        <w:fldChar w:fldCharType="separate"/>
      </w:r>
      <w:r w:rsidRPr="00EA0A41">
        <w:rPr>
          <w:rStyle w:val="Hyperlink"/>
          <w:rFonts w:cs="Arial"/>
          <w:color w:val="663366"/>
          <w:sz w:val="19"/>
          <w:szCs w:val="19"/>
          <w:shd w:val="clear" w:color="auto" w:fill="FFFFFF"/>
        </w:rPr>
        <w:t>"Wireless LAN at 60 GHz - IEEE 802.11ad Explained"</w:t>
      </w:r>
      <w:r>
        <w:rPr>
          <w:rStyle w:val="Hyperlink"/>
          <w:rFonts w:cs="Arial"/>
          <w:color w:val="663366"/>
          <w:sz w:val="19"/>
          <w:szCs w:val="19"/>
          <w:shd w:val="clear" w:color="auto" w:fill="FFFFFF"/>
        </w:rPr>
        <w:fldChar w:fldCharType="end"/>
      </w:r>
      <w:r w:rsidRPr="00EA0A41">
        <w:rPr>
          <w:rFonts w:cs="Arial"/>
          <w:color w:val="222222"/>
          <w:sz w:val="19"/>
          <w:szCs w:val="19"/>
          <w:shd w:val="clear" w:color="auto" w:fill="FFFFFF"/>
        </w:rPr>
        <w:t> </w:t>
      </w:r>
      <w:r w:rsidRPr="00EA0A41">
        <w:rPr>
          <w:rStyle w:val="cs1-format"/>
          <w:rFonts w:cs="Arial"/>
          <w:color w:val="222222"/>
          <w:sz w:val="18"/>
          <w:szCs w:val="18"/>
          <w:shd w:val="clear" w:color="auto" w:fill="FFFFFF"/>
        </w:rPr>
        <w:t>(PDF)</w:t>
      </w:r>
      <w:r w:rsidRPr="00EA0A41">
        <w:rPr>
          <w:rFonts w:cs="Arial"/>
          <w:color w:val="222222"/>
          <w:sz w:val="19"/>
          <w:szCs w:val="19"/>
          <w:shd w:val="clear" w:color="auto" w:fill="FFFFFF"/>
        </w:rPr>
        <w:t>. </w:t>
      </w:r>
      <w:r w:rsidRPr="00EA0A41">
        <w:rPr>
          <w:rFonts w:cs="Arial"/>
          <w:i/>
          <w:color w:val="222222"/>
          <w:sz w:val="19"/>
          <w:szCs w:val="19"/>
          <w:shd w:val="clear" w:color="auto" w:fill="FFFFFF"/>
        </w:rPr>
        <w:t>Application note from </w:t>
      </w:r>
      <w:hyperlink r:id="rId41" w:tooltip="Agilent" w:history="1">
        <w:r w:rsidRPr="00EA0A41">
          <w:rPr>
            <w:rStyle w:val="Hyperlink"/>
            <w:rFonts w:cs="Arial"/>
            <w:i/>
            <w:color w:val="0B0080"/>
            <w:sz w:val="19"/>
            <w:szCs w:val="19"/>
            <w:shd w:val="clear" w:color="auto" w:fill="FFFFFF"/>
          </w:rPr>
          <w:t>Agilent</w:t>
        </w:r>
      </w:hyperlink>
      <w:r w:rsidRPr="00EA0A41">
        <w:rPr>
          <w:rFonts w:cs="Arial"/>
          <w:color w:val="222222"/>
          <w:sz w:val="19"/>
          <w:szCs w:val="19"/>
          <w:shd w:val="clear" w:color="auto" w:fill="FFFFFF"/>
        </w:rPr>
        <w:t>. 2013-05-30. Archived from </w:t>
      </w:r>
      <w:hyperlink r:id="rId42" w:history="1">
        <w:r w:rsidRPr="00EA0A41">
          <w:rPr>
            <w:rStyle w:val="Hyperlink"/>
            <w:rFonts w:cs="Arial"/>
            <w:color w:val="663366"/>
            <w:sz w:val="19"/>
            <w:szCs w:val="19"/>
            <w:shd w:val="clear" w:color="auto" w:fill="FFFFFF"/>
          </w:rPr>
          <w:t>the original</w:t>
        </w:r>
      </w:hyperlink>
      <w:r w:rsidRPr="00EA0A41">
        <w:rPr>
          <w:rFonts w:cs="Arial"/>
          <w:color w:val="222222"/>
          <w:sz w:val="19"/>
          <w:szCs w:val="19"/>
          <w:shd w:val="clear" w:color="auto" w:fill="FFFFFF"/>
        </w:rPr>
        <w:t> </w:t>
      </w:r>
      <w:r w:rsidRPr="00EA0A41">
        <w:rPr>
          <w:rStyle w:val="cs1-format"/>
          <w:rFonts w:cs="Arial"/>
          <w:color w:val="222222"/>
          <w:sz w:val="18"/>
          <w:szCs w:val="18"/>
          <w:shd w:val="clear" w:color="auto" w:fill="FFFFFF"/>
        </w:rPr>
        <w:t>(PDF)</w:t>
      </w:r>
      <w:r w:rsidRPr="00EA0A41">
        <w:rPr>
          <w:rFonts w:cs="Arial"/>
          <w:color w:val="222222"/>
          <w:sz w:val="19"/>
          <w:szCs w:val="19"/>
          <w:shd w:val="clear" w:color="auto" w:fill="FFFFFF"/>
        </w:rPr>
        <w:t> on 2014-08-23</w:t>
      </w:r>
      <w:r w:rsidRPr="00EA0A41">
        <w:rPr>
          <w:rStyle w:val="reference-accessdate"/>
          <w:rFonts w:cs="Arial"/>
          <w:color w:val="222222"/>
          <w:sz w:val="19"/>
          <w:szCs w:val="19"/>
          <w:shd w:val="clear" w:color="auto" w:fill="FFFFFF"/>
        </w:rPr>
        <w:t xml:space="preserve">. </w:t>
      </w:r>
      <w:r>
        <w:rPr>
          <w:rStyle w:val="reference-accessdate"/>
          <w:rFonts w:cs="Arial"/>
          <w:color w:val="222222"/>
          <w:sz w:val="19"/>
          <w:szCs w:val="19"/>
          <w:shd w:val="clear" w:color="auto" w:fill="FFFFFF"/>
        </w:rPr>
        <w:t>Retrieved </w:t>
      </w:r>
      <w:r>
        <w:rPr>
          <w:rStyle w:val="nowrap"/>
          <w:rFonts w:cs="Arial"/>
          <w:color w:val="222222"/>
          <w:sz w:val="19"/>
          <w:szCs w:val="19"/>
          <w:shd w:val="clear" w:color="auto" w:fill="FFFFFF"/>
        </w:rPr>
        <w:t>2014-05-08</w:t>
      </w:r>
      <w:r>
        <w:rPr>
          <w:rFonts w:cs="Arial"/>
          <w:color w:val="222222"/>
          <w:sz w:val="19"/>
          <w:szCs w:val="19"/>
          <w:shd w:val="clear" w:color="auto" w:fill="FFFFFF"/>
        </w:rPr>
        <w:t>.</w:t>
      </w:r>
      <w:bookmarkEnd w:id="34"/>
    </w:p>
    <w:bookmarkStart w:id="35" w:name="_Ref40272838"/>
    <w:p w14:paraId="5120D97E" w14:textId="77777777" w:rsidR="008A2C71" w:rsidRPr="00514150" w:rsidRDefault="008A2C71" w:rsidP="008A2C71">
      <w:pPr>
        <w:pStyle w:val="Reference"/>
      </w:pPr>
      <w:r>
        <w:rPr>
          <w:lang w:val="en-GB"/>
        </w:rPr>
        <w:fldChar w:fldCharType="begin"/>
      </w:r>
      <w:r>
        <w:instrText xml:space="preserve"> HYPERLINK "http://www.rohde-schwarz.com/en/applications/802.11ad-wlan-at-60-ghz-application-note_56280-50625.html" </w:instrText>
      </w:r>
      <w:r>
        <w:rPr>
          <w:lang w:val="en-GB"/>
        </w:rPr>
        <w:fldChar w:fldCharType="separate"/>
      </w:r>
      <w:r w:rsidRPr="00EA0A41">
        <w:rPr>
          <w:rStyle w:val="Hyperlink"/>
          <w:rFonts w:cs="Arial"/>
          <w:color w:val="663366"/>
          <w:sz w:val="19"/>
          <w:szCs w:val="19"/>
        </w:rPr>
        <w:t>"802.11ad - WLAN at 60 GHz A Technology Introduction"</w:t>
      </w:r>
      <w:r>
        <w:rPr>
          <w:rStyle w:val="Hyperlink"/>
          <w:rFonts w:cs="Arial"/>
          <w:color w:val="663366"/>
          <w:sz w:val="19"/>
          <w:szCs w:val="19"/>
        </w:rPr>
        <w:fldChar w:fldCharType="end"/>
      </w:r>
      <w:r w:rsidRPr="00EA0A41">
        <w:rPr>
          <w:rFonts w:cs="Arial"/>
          <w:color w:val="222222"/>
          <w:sz w:val="19"/>
          <w:szCs w:val="19"/>
          <w:shd w:val="clear" w:color="auto" w:fill="FFFFFF"/>
        </w:rPr>
        <w:t> </w:t>
      </w:r>
      <w:r w:rsidRPr="00EA0A41">
        <w:rPr>
          <w:rStyle w:val="cs1-format"/>
          <w:rFonts w:cs="Arial"/>
          <w:color w:val="222222"/>
          <w:sz w:val="18"/>
          <w:szCs w:val="18"/>
          <w:shd w:val="clear" w:color="auto" w:fill="FFFFFF"/>
        </w:rPr>
        <w:t>(PDF)</w:t>
      </w:r>
      <w:r w:rsidRPr="00EA0A41">
        <w:rPr>
          <w:rFonts w:cs="Arial"/>
          <w:color w:val="222222"/>
          <w:sz w:val="19"/>
          <w:szCs w:val="19"/>
          <w:shd w:val="clear" w:color="auto" w:fill="FFFFFF"/>
        </w:rPr>
        <w:t>. </w:t>
      </w:r>
      <w:r>
        <w:rPr>
          <w:rFonts w:cs="Arial"/>
          <w:i/>
          <w:iCs/>
          <w:color w:val="222222"/>
          <w:sz w:val="19"/>
          <w:szCs w:val="19"/>
          <w:shd w:val="clear" w:color="auto" w:fill="FFFFFF"/>
        </w:rPr>
        <w:t>White Paper by </w:t>
      </w:r>
      <w:hyperlink r:id="rId43" w:history="1">
        <w:r>
          <w:rPr>
            <w:rStyle w:val="Hyperlink"/>
            <w:rFonts w:cs="Arial"/>
            <w:i/>
            <w:iCs/>
            <w:color w:val="0B0080"/>
            <w:sz w:val="19"/>
            <w:szCs w:val="19"/>
            <w:shd w:val="clear" w:color="auto" w:fill="FFFFFF"/>
          </w:rPr>
          <w:t>Rohde &amp; Schwarz</w:t>
        </w:r>
      </w:hyperlink>
      <w:r>
        <w:rPr>
          <w:rFonts w:cs="Arial"/>
          <w:color w:val="222222"/>
          <w:sz w:val="19"/>
          <w:szCs w:val="19"/>
          <w:shd w:val="clear" w:color="auto" w:fill="FFFFFF"/>
        </w:rPr>
        <w:t>. 2013-11-21</w:t>
      </w:r>
      <w:r>
        <w:rPr>
          <w:rStyle w:val="reference-accessdate"/>
          <w:rFonts w:cs="Arial"/>
          <w:color w:val="222222"/>
          <w:sz w:val="19"/>
          <w:szCs w:val="19"/>
          <w:shd w:val="clear" w:color="auto" w:fill="FFFFFF"/>
        </w:rPr>
        <w:t>. Retrieved </w:t>
      </w:r>
      <w:r>
        <w:rPr>
          <w:rStyle w:val="nowrap"/>
          <w:rFonts w:cs="Arial"/>
          <w:color w:val="222222"/>
          <w:sz w:val="19"/>
          <w:szCs w:val="19"/>
          <w:shd w:val="clear" w:color="auto" w:fill="FFFFFF"/>
        </w:rPr>
        <w:t>2014-12-09</w:t>
      </w:r>
      <w:r>
        <w:rPr>
          <w:rFonts w:cs="Arial"/>
          <w:color w:val="222222"/>
          <w:sz w:val="19"/>
          <w:szCs w:val="19"/>
          <w:shd w:val="clear" w:color="auto" w:fill="FFFFFF"/>
        </w:rPr>
        <w:t>.</w:t>
      </w:r>
      <w:bookmarkEnd w:id="35"/>
    </w:p>
    <w:bookmarkStart w:id="36" w:name="_Ref40272840"/>
    <w:p w14:paraId="7444866B" w14:textId="77777777" w:rsidR="008A2C71" w:rsidRDefault="008A2C71" w:rsidP="008A2C71">
      <w:pPr>
        <w:pStyle w:val="Reference"/>
      </w:pPr>
      <w:r>
        <w:fldChar w:fldCharType="begin"/>
      </w:r>
      <w:r>
        <w:instrText xml:space="preserve"> HYPERLINK "https://www.smallnetbuilder.com/tags/80211ad" </w:instrText>
      </w:r>
      <w:r>
        <w:fldChar w:fldCharType="separate"/>
      </w:r>
      <w:r>
        <w:rPr>
          <w:rStyle w:val="Hyperlink"/>
        </w:rPr>
        <w:t>https://www.smallnetbuilder.com/tags/80211ad</w:t>
      </w:r>
      <w:r>
        <w:rPr>
          <w:rStyle w:val="Hyperlink"/>
        </w:rPr>
        <w:fldChar w:fldCharType="end"/>
      </w:r>
      <w:r>
        <w:t>.</w:t>
      </w:r>
      <w:bookmarkEnd w:id="36"/>
    </w:p>
    <w:bookmarkEnd w:id="21"/>
    <w:bookmarkEnd w:id="22"/>
    <w:p w14:paraId="03E5BA4D" w14:textId="77777777" w:rsidR="008A2C71" w:rsidRPr="00EA0A41" w:rsidRDefault="008A2C71" w:rsidP="008A2C71">
      <w:pPr>
        <w:pStyle w:val="BodyText"/>
      </w:pPr>
    </w:p>
    <w:p w14:paraId="1F28C02A" w14:textId="77777777" w:rsidR="008A2C71" w:rsidRPr="00CE0424" w:rsidRDefault="008A2C71" w:rsidP="008A2C71">
      <w:pPr>
        <w:pStyle w:val="Heading1"/>
      </w:pPr>
      <w:r>
        <w:t>Annex A</w:t>
      </w:r>
      <w:r>
        <w:tab/>
        <w:t>Details of beamforming evaluation</w:t>
      </w:r>
    </w:p>
    <w:p w14:paraId="7960DAD4" w14:textId="768F1A9E" w:rsidR="008A2C71" w:rsidRPr="00EA0A41" w:rsidRDefault="008A2C71" w:rsidP="008A2C71">
      <w:pPr>
        <w:pStyle w:val="BodyText"/>
        <w:rPr>
          <w:u w:val="single"/>
        </w:rPr>
      </w:pPr>
      <w:r w:rsidRPr="00EA0A41">
        <w:rPr>
          <w:u w:val="single"/>
        </w:rPr>
        <w:t xml:space="preserve">Channel </w:t>
      </w:r>
      <w:r w:rsidR="002065FA">
        <w:rPr>
          <w:u w:val="single"/>
        </w:rPr>
        <w:t>m</w:t>
      </w:r>
      <w:r w:rsidRPr="00EA0A41">
        <w:rPr>
          <w:u w:val="single"/>
        </w:rPr>
        <w:t xml:space="preserve">odel </w:t>
      </w:r>
      <w:r w:rsidR="002065FA">
        <w:rPr>
          <w:u w:val="single"/>
        </w:rPr>
        <w:t>c</w:t>
      </w:r>
      <w:r w:rsidRPr="00EA0A41">
        <w:rPr>
          <w:u w:val="single"/>
        </w:rPr>
        <w:t>alibration</w:t>
      </w:r>
    </w:p>
    <w:p w14:paraId="13B7F379" w14:textId="220C2DCF" w:rsidR="008A2C71" w:rsidRPr="00EA0A41" w:rsidRDefault="008A2C71" w:rsidP="008A2C71">
      <w:pPr>
        <w:pStyle w:val="BodyText"/>
      </w:pPr>
      <w:r w:rsidRPr="00EA0A41">
        <w:t xml:space="preserve">The influence of the beamforming properties in the resulting channel </w:t>
      </w:r>
      <w:r>
        <w:t>were</w:t>
      </w:r>
      <w:r w:rsidRPr="00EA0A41">
        <w:t xml:space="preserve"> evaluated for a number of scenarios. For each of the evaluated scenarios, the calibration of the channel model parameters is based on recommendations found in </w:t>
      </w:r>
      <w:r>
        <w:fldChar w:fldCharType="begin"/>
      </w:r>
      <w:r w:rsidRPr="001D5196">
        <w:instrText xml:space="preserve"> REF _Ref39243485 \r \h </w:instrText>
      </w:r>
      <w:r>
        <w:fldChar w:fldCharType="separate"/>
      </w:r>
      <w:r w:rsidR="005A26D8">
        <w:t>[4]</w:t>
      </w:r>
      <w:r>
        <w:fldChar w:fldCharType="end"/>
      </w:r>
      <w:r w:rsidRPr="00EA0A41">
        <w:t xml:space="preserve"> and references therein (and not on other 3GPP/non-3GPP material).</w:t>
      </w:r>
    </w:p>
    <w:p w14:paraId="1304378F" w14:textId="47CF9597" w:rsidR="008A2C71" w:rsidRPr="00EA0A41" w:rsidRDefault="008A2C71" w:rsidP="008A2C71">
      <w:pPr>
        <w:pStyle w:val="BodyText"/>
      </w:pPr>
      <w:r w:rsidRPr="00EA0A41">
        <w:t>Two channel scenarios were considered, namely, Urban Micro (</w:t>
      </w:r>
      <w:proofErr w:type="spellStart"/>
      <w:r w:rsidRPr="00EA0A41">
        <w:t>UMi</w:t>
      </w:r>
      <w:proofErr w:type="spellEnd"/>
      <w:r w:rsidRPr="00EA0A41">
        <w:t xml:space="preserve">)-Street Canyon and Indoor Office - find respective parameterizations in Sec. 7.2 of </w:t>
      </w:r>
      <w:r>
        <w:fldChar w:fldCharType="begin"/>
      </w:r>
      <w:r w:rsidRPr="00EA0A41">
        <w:instrText xml:space="preserve"> REF _Ref39243485 \r \h </w:instrText>
      </w:r>
      <w:r>
        <w:fldChar w:fldCharType="separate"/>
      </w:r>
      <w:r w:rsidR="005A26D8">
        <w:t>[4]</w:t>
      </w:r>
      <w:r>
        <w:fldChar w:fldCharType="end"/>
      </w:r>
      <w:r w:rsidRPr="00EA0A41">
        <w:t xml:space="preserve">. The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Pr="00EA0A41">
        <w:t xml:space="preserve"> is set to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=60</m:t>
        </m:r>
      </m:oMath>
      <w:r w:rsidRPr="00EA0A41">
        <w:t>GHz, and some of the most important resulting parameters for the current case study are:</w:t>
      </w:r>
    </w:p>
    <w:p w14:paraId="23D4312F" w14:textId="092885EC" w:rsidR="008A2C71" w:rsidRPr="00EA0A41" w:rsidRDefault="008A2C71" w:rsidP="008A2C71">
      <w:pPr>
        <w:pStyle w:val="BodyText"/>
        <w:numPr>
          <w:ilvl w:val="0"/>
          <w:numId w:val="29"/>
        </w:numPr>
        <w:overflowPunct/>
        <w:autoSpaceDE/>
        <w:autoSpaceDN/>
        <w:adjustRightInd/>
        <w:spacing w:line="259" w:lineRule="auto"/>
        <w:textAlignment w:val="auto"/>
      </w:pPr>
      <w:r w:rsidRPr="00EA0A41">
        <w:lastRenderedPageBreak/>
        <w:t xml:space="preserve">For the </w:t>
      </w:r>
      <w:proofErr w:type="spellStart"/>
      <w:r w:rsidRPr="00EA0A41">
        <w:t>UMi</w:t>
      </w:r>
      <w:proofErr w:type="spellEnd"/>
      <w:r w:rsidRPr="00EA0A41">
        <w:t xml:space="preserve">-Street Canyon scenario, an inter-site distance of </w:t>
      </w:r>
      <m:oMath>
        <m:r>
          <w:rPr>
            <w:rFonts w:ascii="Cambria Math" w:hAnsi="Cambria Math"/>
          </w:rPr>
          <m:t>200</m:t>
        </m:r>
      </m:oMath>
      <w:r w:rsidRPr="00EA0A41">
        <w:t xml:space="preserve">m where each cell layouts consists of an hexagonal grid, a BS antenna height of </w:t>
      </w:r>
      <m:oMath>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=10</m:t>
        </m:r>
      </m:oMath>
      <w:r w:rsidRPr="00EA0A41">
        <w:t xml:space="preserve">m, a UE height of </w:t>
      </w:r>
      <m:oMath>
        <m:r>
          <w:rPr>
            <w:rFonts w:ascii="Cambria Math" w:hAnsi="Cambria Math"/>
          </w:rPr>
          <m:t>1.5</m:t>
        </m:r>
      </m:oMath>
      <w:r w:rsidRPr="00EA0A41">
        <w:t xml:space="preserve">m, and a minimum BS-to-UE distance of </w:t>
      </w:r>
      <m:oMath>
        <m:r>
          <w:rPr>
            <w:rFonts w:ascii="Cambria Math" w:hAnsi="Cambria Math"/>
          </w:rPr>
          <m:t>10</m:t>
        </m:r>
      </m:oMath>
      <w:r w:rsidRPr="00EA0A41">
        <w:t>m. We also set mean AOD</w:t>
      </w:r>
      <m:oMath>
        <m:r>
          <w:rPr>
            <w:rFonts w:ascii="Cambria Math" w:hAnsi="Cambria Math"/>
          </w:rPr>
          <m:t>~U[60</m:t>
        </m:r>
        <m:r>
          <m:rPr>
            <m:sty m:val="p"/>
          </m:rPr>
          <w:rPr>
            <w:rFonts w:ascii="Cambria Math" w:hAnsi="Cambria Math"/>
          </w:rPr>
          <m:t>°</m:t>
        </m:r>
        <m:r>
          <w:rPr>
            <w:rFonts w:ascii="Cambria Math" w:hAnsi="Cambria Math"/>
          </w:rPr>
          <m:t>,120</m:t>
        </m:r>
        <m:r>
          <m:rPr>
            <m:sty m:val="p"/>
          </m:rPr>
          <w:rPr>
            <w:rFonts w:ascii="Cambria Math" w:hAnsi="Cambria Math"/>
          </w:rPr>
          <m:t>°</m:t>
        </m:r>
        <m:r>
          <w:rPr>
            <w:rFonts w:ascii="Cambria Math" w:hAnsi="Cambria Math"/>
          </w:rPr>
          <m:t>]</m:t>
        </m:r>
      </m:oMath>
      <w:r w:rsidRPr="00EA0A41">
        <w:t>, mean ZO</w:t>
      </w:r>
      <w:r w:rsidR="1E432B92" w:rsidRPr="00EA0A41">
        <w:t>D</w:t>
      </w:r>
      <m:oMath>
        <m:r>
          <w:rPr>
            <w:rFonts w:ascii="Cambria Math" w:hAnsi="Cambria Math"/>
          </w:rPr>
          <m:t>~U[90</m:t>
        </m:r>
        <m:r>
          <m:rPr>
            <m:sty m:val="p"/>
          </m:rPr>
          <w:rPr>
            <w:rFonts w:ascii="Cambria Math" w:hAnsi="Cambria Math"/>
          </w:rPr>
          <m:t>°</m:t>
        </m:r>
        <m:r>
          <w:rPr>
            <w:rFonts w:ascii="Cambria Math" w:hAnsi="Cambria Math"/>
          </w:rPr>
          <m:t>,135</m:t>
        </m:r>
        <m:r>
          <m:rPr>
            <m:sty m:val="p"/>
          </m:rPr>
          <w:rPr>
            <w:rFonts w:ascii="Cambria Math" w:hAnsi="Cambria Math"/>
          </w:rPr>
          <m:t>°</m:t>
        </m:r>
        <m:r>
          <w:rPr>
            <w:rFonts w:ascii="Cambria Math" w:hAnsi="Cambria Math"/>
          </w:rPr>
          <m:t>]</m:t>
        </m:r>
      </m:oMath>
      <w:r w:rsidRPr="00EA0A41">
        <w:t>, mean AOA</w:t>
      </w:r>
      <m:oMath>
        <m:r>
          <w:rPr>
            <w:rFonts w:ascii="Cambria Math" w:hAnsi="Cambria Math"/>
          </w:rPr>
          <m:t>~U[0</m:t>
        </m:r>
        <m:r>
          <m:rPr>
            <m:sty m:val="p"/>
          </m:rPr>
          <w:rPr>
            <w:rFonts w:ascii="Cambria Math" w:hAnsi="Cambria Math"/>
          </w:rPr>
          <m:t>°</m:t>
        </m:r>
        <m:r>
          <w:rPr>
            <w:rFonts w:ascii="Cambria Math" w:hAnsi="Cambria Math"/>
          </w:rPr>
          <m:t>,360</m:t>
        </m:r>
        <m:r>
          <m:rPr>
            <m:sty m:val="p"/>
          </m:rPr>
          <w:rPr>
            <w:rFonts w:ascii="Cambria Math" w:hAnsi="Cambria Math"/>
          </w:rPr>
          <m:t>°</m:t>
        </m:r>
        <m:r>
          <w:rPr>
            <w:rFonts w:ascii="Cambria Math" w:hAnsi="Cambria Math"/>
          </w:rPr>
          <m:t>]</m:t>
        </m:r>
      </m:oMath>
      <w:r w:rsidRPr="00EA0A41">
        <w:t xml:space="preserve">, mean </w:t>
      </w:r>
      <w:r w:rsidR="485BEFDE" w:rsidRPr="00EA0A41">
        <w:t>Z</w:t>
      </w:r>
      <w:r w:rsidRPr="00EA0A41">
        <w:t>OA</w:t>
      </w:r>
      <m:oMath>
        <m:r>
          <w:rPr>
            <w:rFonts w:ascii="Cambria Math" w:hAnsi="Cambria Math"/>
          </w:rPr>
          <m:t>~U[0</m:t>
        </m:r>
        <m:r>
          <m:rPr>
            <m:sty m:val="p"/>
          </m:rPr>
          <w:rPr>
            <w:rFonts w:ascii="Cambria Math" w:hAnsi="Cambria Math"/>
          </w:rPr>
          <m:t>°</m:t>
        </m:r>
        <m:r>
          <w:rPr>
            <w:rFonts w:ascii="Cambria Math" w:hAnsi="Cambria Math"/>
          </w:rPr>
          <m:t>,180</m:t>
        </m:r>
        <m:r>
          <m:rPr>
            <m:sty m:val="p"/>
          </m:rPr>
          <w:rPr>
            <w:rFonts w:ascii="Cambria Math" w:hAnsi="Cambria Math"/>
          </w:rPr>
          <m:t>°</m:t>
        </m:r>
        <m:r>
          <w:rPr>
            <w:rFonts w:ascii="Cambria Math" w:hAnsi="Cambria Math"/>
          </w:rPr>
          <m:t>]</m:t>
        </m:r>
      </m:oMath>
      <w:r w:rsidRPr="00EA0A41">
        <w:t>;</w:t>
      </w:r>
    </w:p>
    <w:p w14:paraId="1E6F8F73" w14:textId="76A7A58B" w:rsidR="008A2C71" w:rsidRPr="00EA0A41" w:rsidRDefault="008A2C71" w:rsidP="008A2C71">
      <w:pPr>
        <w:pStyle w:val="BodyText"/>
        <w:numPr>
          <w:ilvl w:val="0"/>
          <w:numId w:val="29"/>
        </w:numPr>
        <w:overflowPunct/>
        <w:autoSpaceDE/>
        <w:autoSpaceDN/>
        <w:adjustRightInd/>
        <w:spacing w:line="259" w:lineRule="auto"/>
        <w:textAlignment w:val="auto"/>
      </w:pPr>
      <w:r w:rsidRPr="00EA0A41">
        <w:t xml:space="preserve">An inter-site distance of </w:t>
      </w:r>
      <m:oMath>
        <m:r>
          <w:rPr>
            <w:rFonts w:ascii="Cambria Math" w:hAnsi="Cambria Math"/>
          </w:rPr>
          <m:t>20</m:t>
        </m:r>
      </m:oMath>
      <w:r w:rsidRPr="00EA0A41">
        <w:t>m where each cell is a room with dimensions 120mx50x</w:t>
      </w:r>
      <w:r w:rsidRPr="003A59EB">
        <w:t>3m</w:t>
      </w:r>
      <w:r w:rsidRPr="00EA0A41">
        <w:t xml:space="preserve">, a BS antenna height of </w:t>
      </w:r>
      <m:oMath>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=3</m:t>
        </m:r>
      </m:oMath>
      <w:r w:rsidRPr="00EA0A41">
        <w:t xml:space="preserve">m, a UE height of </w:t>
      </w:r>
      <m:oMath>
        <m:r>
          <w:rPr>
            <w:rFonts w:ascii="Cambria Math" w:hAnsi="Cambria Math"/>
          </w:rPr>
          <m:t>1</m:t>
        </m:r>
      </m:oMath>
      <w:r w:rsidRPr="00EA0A41">
        <w:t xml:space="preserve">m, and a minimum BS-to-UE distance of </w:t>
      </w:r>
      <m:oMath>
        <m:r>
          <w:rPr>
            <w:rFonts w:ascii="Cambria Math" w:hAnsi="Cambria Math"/>
          </w:rPr>
          <m:t>0</m:t>
        </m:r>
      </m:oMath>
      <w:r w:rsidRPr="00EA0A41">
        <w:t>m for the Indoor Office scenario. We also set mean AOD</w:t>
      </w:r>
      <m:oMath>
        <m:r>
          <w:rPr>
            <w:rFonts w:ascii="Cambria Math" w:hAnsi="Cambria Math"/>
          </w:rPr>
          <m:t>~U[0</m:t>
        </m:r>
        <m:r>
          <m:rPr>
            <m:sty m:val="p"/>
          </m:rPr>
          <w:rPr>
            <w:rFonts w:ascii="Cambria Math" w:hAnsi="Cambria Math"/>
          </w:rPr>
          <m:t>°</m:t>
        </m:r>
        <m:r>
          <w:rPr>
            <w:rFonts w:ascii="Cambria Math" w:hAnsi="Cambria Math"/>
          </w:rPr>
          <m:t>,360</m:t>
        </m:r>
        <m:r>
          <m:rPr>
            <m:sty m:val="p"/>
          </m:rPr>
          <w:rPr>
            <w:rFonts w:ascii="Cambria Math" w:hAnsi="Cambria Math"/>
          </w:rPr>
          <m:t>°</m:t>
        </m:r>
        <m:r>
          <w:rPr>
            <w:rFonts w:ascii="Cambria Math" w:hAnsi="Cambria Math"/>
          </w:rPr>
          <m:t>]</m:t>
        </m:r>
      </m:oMath>
      <w:r w:rsidRPr="00EA0A41">
        <w:t>, mean ZO</w:t>
      </w:r>
      <w:r w:rsidR="3DA53752" w:rsidRPr="00EA0A41">
        <w:t>D</w:t>
      </w:r>
      <m:oMath>
        <m:r>
          <w:rPr>
            <w:rFonts w:ascii="Cambria Math" w:hAnsi="Cambria Math"/>
          </w:rPr>
          <m:t>~U[0</m:t>
        </m:r>
        <m:r>
          <m:rPr>
            <m:sty m:val="p"/>
          </m:rPr>
          <w:rPr>
            <w:rFonts w:ascii="Cambria Math" w:hAnsi="Cambria Math"/>
          </w:rPr>
          <m:t>°</m:t>
        </m:r>
        <m:r>
          <w:rPr>
            <w:rFonts w:ascii="Cambria Math" w:hAnsi="Cambria Math"/>
          </w:rPr>
          <m:t>,180</m:t>
        </m:r>
        <m:r>
          <m:rPr>
            <m:sty m:val="p"/>
          </m:rPr>
          <w:rPr>
            <w:rFonts w:ascii="Cambria Math" w:hAnsi="Cambria Math"/>
          </w:rPr>
          <m:t>°</m:t>
        </m:r>
        <m:r>
          <w:rPr>
            <w:rFonts w:ascii="Cambria Math" w:hAnsi="Cambria Math"/>
          </w:rPr>
          <m:t>]</m:t>
        </m:r>
      </m:oMath>
      <w:r w:rsidRPr="00EA0A41">
        <w:t>, mean AOA</w:t>
      </w:r>
      <m:oMath>
        <m:r>
          <w:rPr>
            <w:rFonts w:ascii="Cambria Math" w:hAnsi="Cambria Math"/>
          </w:rPr>
          <m:t>~U[0</m:t>
        </m:r>
        <m:r>
          <m:rPr>
            <m:sty m:val="p"/>
          </m:rPr>
          <w:rPr>
            <w:rFonts w:ascii="Cambria Math" w:hAnsi="Cambria Math"/>
          </w:rPr>
          <m:t>°</m:t>
        </m:r>
        <m:r>
          <w:rPr>
            <w:rFonts w:ascii="Cambria Math" w:hAnsi="Cambria Math"/>
          </w:rPr>
          <m:t>,360</m:t>
        </m:r>
        <m:r>
          <m:rPr>
            <m:sty m:val="p"/>
          </m:rPr>
          <w:rPr>
            <w:rFonts w:ascii="Cambria Math" w:hAnsi="Cambria Math"/>
          </w:rPr>
          <m:t>°</m:t>
        </m:r>
        <m:r>
          <w:rPr>
            <w:rFonts w:ascii="Cambria Math" w:hAnsi="Cambria Math"/>
          </w:rPr>
          <m:t>]</m:t>
        </m:r>
      </m:oMath>
      <w:r w:rsidRPr="00EA0A41">
        <w:t xml:space="preserve">, mean </w:t>
      </w:r>
      <w:r w:rsidR="6F9FDCE2" w:rsidRPr="00EA0A41">
        <w:t>Z</w:t>
      </w:r>
      <w:r w:rsidRPr="00EA0A41">
        <w:t>OA</w:t>
      </w:r>
      <m:oMath>
        <m:r>
          <w:rPr>
            <w:rFonts w:ascii="Cambria Math" w:hAnsi="Cambria Math"/>
          </w:rPr>
          <m:t>~U[0</m:t>
        </m:r>
        <m:r>
          <m:rPr>
            <m:sty m:val="p"/>
          </m:rPr>
          <w:rPr>
            <w:rFonts w:ascii="Cambria Math" w:hAnsi="Cambria Math"/>
          </w:rPr>
          <m:t>°</m:t>
        </m:r>
        <m:r>
          <w:rPr>
            <w:rFonts w:ascii="Cambria Math" w:hAnsi="Cambria Math"/>
          </w:rPr>
          <m:t>,180</m:t>
        </m:r>
        <m:r>
          <m:rPr>
            <m:sty m:val="p"/>
          </m:rPr>
          <w:rPr>
            <w:rFonts w:ascii="Cambria Math" w:hAnsi="Cambria Math"/>
          </w:rPr>
          <m:t>°</m:t>
        </m:r>
        <m:r>
          <w:rPr>
            <w:rFonts w:ascii="Cambria Math" w:hAnsi="Cambria Math"/>
          </w:rPr>
          <m:t>]</m:t>
        </m:r>
      </m:oMath>
      <w:r w:rsidRPr="00EA0A41">
        <w:t>;</w:t>
      </w:r>
    </w:p>
    <w:p w14:paraId="38DEEB2C" w14:textId="77777777" w:rsidR="008A2C71" w:rsidRPr="00EA0A41" w:rsidRDefault="008A2C71" w:rsidP="008A2C71">
      <w:pPr>
        <w:pStyle w:val="BodyText"/>
      </w:pPr>
      <w:r w:rsidRPr="00EA0A41">
        <w:t xml:space="preserve">where </w:t>
      </w:r>
      <m:oMath>
        <m:r>
          <w:rPr>
            <w:rFonts w:ascii="Cambria Math" w:hAnsi="Cambria Math"/>
          </w:rPr>
          <m:t>U[X,Y]</m:t>
        </m:r>
      </m:oMath>
      <w:r w:rsidRPr="00EA0A41">
        <w:t xml:space="preserve"> denotes the uniform distribution with support from X to Y;</w:t>
      </w:r>
    </w:p>
    <w:p w14:paraId="5AF0B9E5" w14:textId="77777777" w:rsidR="008A2C71" w:rsidRPr="00EA0A41" w:rsidRDefault="008A2C71" w:rsidP="008A2C71">
      <w:pPr>
        <w:pStyle w:val="BodyText"/>
      </w:pPr>
      <w:r w:rsidRPr="00EA0A41">
        <w:t>In all cases, the UE’s velocity is set to 3km/h, and the UE’s rotation and position is randomized across the cell.</w:t>
      </w:r>
    </w:p>
    <w:p w14:paraId="601867E5" w14:textId="77777777" w:rsidR="008A2C71" w:rsidRPr="00EA0A41" w:rsidRDefault="008A2C71" w:rsidP="008A2C71">
      <w:pPr>
        <w:pStyle w:val="BodyText"/>
      </w:pPr>
      <w:r w:rsidRPr="00EA0A41">
        <w:t>Then, each of the two scenarios above is evaluated under line-of-sight (LOS) and non</w:t>
      </w:r>
      <w:r>
        <w:t>-</w:t>
      </w:r>
      <w:r w:rsidRPr="00EA0A41">
        <w:t xml:space="preserve">line-of-sight (NLOS) conditions. Downlink operation is assumed. For the </w:t>
      </w:r>
      <w:proofErr w:type="spellStart"/>
      <w:r w:rsidRPr="00EA0A41">
        <w:t>UMi</w:t>
      </w:r>
      <w:proofErr w:type="spellEnd"/>
      <w:r w:rsidRPr="00EA0A41">
        <w:t xml:space="preserve"> – Street Canyon scenario, the </w:t>
      </w:r>
      <w:r>
        <w:t>comprehensive</w:t>
      </w:r>
      <w:r w:rsidRPr="00EA0A41">
        <w:t xml:space="preserve"> list of calibrat</w:t>
      </w:r>
      <w:r>
        <w:t>ion</w:t>
      </w:r>
      <w:r w:rsidRPr="00EA0A41">
        <w:t xml:space="preserve"> parameters is found in Table 7.5-6 Part-1. </w:t>
      </w:r>
      <w:r>
        <w:t xml:space="preserve">For the analysis in this contribution, values of DS, </w:t>
      </w:r>
      <w:proofErr w:type="spellStart"/>
      <w:r>
        <w:t>AoA</w:t>
      </w:r>
      <w:proofErr w:type="spellEnd"/>
      <w:r>
        <w:t xml:space="preserve"> spread, </w:t>
      </w:r>
      <w:proofErr w:type="spellStart"/>
      <w:r>
        <w:t>AoD</w:t>
      </w:r>
      <w:proofErr w:type="spellEnd"/>
      <w:r>
        <w:t xml:space="preserve"> spread and </w:t>
      </w:r>
      <w:proofErr w:type="spellStart"/>
      <w:r>
        <w:t>ZoA</w:t>
      </w:r>
      <w:proofErr w:type="spellEnd"/>
      <w:r>
        <w:t xml:space="preserve"> spread are assumed deterministic and their values equal to the mean values as defined in </w:t>
      </w:r>
      <w:r w:rsidRPr="00EA0A41">
        <w:t xml:space="preserve">Table 7.5-6 Part-1. </w:t>
      </w:r>
      <w:r>
        <w:t>More specifically, the values of the aforementioned</w:t>
      </w:r>
      <w:r w:rsidRPr="00EA0A41">
        <w:t xml:space="preserve"> parameters for the current case study are:</w:t>
      </w:r>
    </w:p>
    <w:p w14:paraId="2356B700" w14:textId="77777777" w:rsidR="008A2C71" w:rsidRPr="00EA0A41" w:rsidRDefault="008A2C71" w:rsidP="008A2C71">
      <w:pPr>
        <w:pStyle w:val="BodyText"/>
        <w:numPr>
          <w:ilvl w:val="0"/>
          <w:numId w:val="28"/>
        </w:numPr>
        <w:overflowPunct/>
        <w:autoSpaceDE/>
        <w:autoSpaceDN/>
        <w:adjustRightInd/>
        <w:spacing w:line="259" w:lineRule="auto"/>
        <w:textAlignment w:val="auto"/>
      </w:pPr>
      <w:r w:rsidRPr="00EA0A41">
        <w:t>DS=27ns, AOD spread=13.2</w:t>
      </w:r>
      <w:r w:rsidRPr="00EA0A41">
        <w:rPr>
          <w:rFonts w:ascii="Times New Roman" w:hAnsi="Times New Roman"/>
        </w:rPr>
        <w:t>°</w:t>
      </w:r>
      <w:r w:rsidRPr="00EA0A41">
        <w:t>, AOA spread=38.6</w:t>
      </w:r>
      <w:r w:rsidRPr="00EA0A41">
        <w:rPr>
          <w:rFonts w:ascii="Times New Roman" w:hAnsi="Times New Roman"/>
        </w:rPr>
        <w:t>°</w:t>
      </w:r>
      <w:r w:rsidRPr="00EA0A41">
        <w:t xml:space="preserve"> and ZOA spread =3.6</w:t>
      </w:r>
      <w:r w:rsidRPr="00EA0A41">
        <w:rPr>
          <w:rFonts w:ascii="Times New Roman" w:hAnsi="Times New Roman"/>
        </w:rPr>
        <w:t>°,</w:t>
      </w:r>
      <w:r w:rsidRPr="00EA0A41">
        <w:t xml:space="preserve">  for the LOS case;</w:t>
      </w:r>
    </w:p>
    <w:p w14:paraId="50B749AD" w14:textId="77777777" w:rsidR="008A2C71" w:rsidRPr="00EA0A41" w:rsidRDefault="008A2C71" w:rsidP="008A2C71">
      <w:pPr>
        <w:pStyle w:val="BodyText"/>
        <w:numPr>
          <w:ilvl w:val="0"/>
          <w:numId w:val="28"/>
        </w:numPr>
        <w:overflowPunct/>
        <w:autoSpaceDE/>
        <w:autoSpaceDN/>
        <w:adjustRightInd/>
        <w:spacing w:line="259" w:lineRule="auto"/>
        <w:textAlignment w:val="auto"/>
      </w:pPr>
      <w:r w:rsidRPr="00EA0A41">
        <w:t>DS=55ns, AOD spread =13.2</w:t>
      </w:r>
      <w:r w:rsidRPr="00EA0A41">
        <w:rPr>
          <w:rFonts w:ascii="Times New Roman" w:hAnsi="Times New Roman"/>
        </w:rPr>
        <w:t>°</w:t>
      </w:r>
      <w:r w:rsidRPr="00EA0A41">
        <w:t>, AOA spread =46.5</w:t>
      </w:r>
      <w:r w:rsidRPr="00EA0A41">
        <w:rPr>
          <w:rFonts w:ascii="Times New Roman" w:hAnsi="Times New Roman"/>
        </w:rPr>
        <w:t>°</w:t>
      </w:r>
      <w:r w:rsidRPr="00EA0A41">
        <w:t xml:space="preserve"> and ZOA spread =7</w:t>
      </w:r>
      <w:r w:rsidRPr="00EA0A41">
        <w:rPr>
          <w:rFonts w:ascii="Times New Roman" w:hAnsi="Times New Roman"/>
        </w:rPr>
        <w:t>°</w:t>
      </w:r>
      <w:r w:rsidRPr="00EA0A41">
        <w:t xml:space="preserve">   for the NLOS case.</w:t>
      </w:r>
    </w:p>
    <w:p w14:paraId="2292410D" w14:textId="0A406089" w:rsidR="008A2C71" w:rsidRPr="00EA0A41" w:rsidRDefault="008A2C71" w:rsidP="008A2C71">
      <w:pPr>
        <w:pStyle w:val="BodyText"/>
      </w:pPr>
      <w:r w:rsidRPr="00EA0A41">
        <w:t xml:space="preserve">The ZOD, although not defined in </w:t>
      </w:r>
      <w:r>
        <w:fldChar w:fldCharType="begin"/>
      </w:r>
      <w:r w:rsidRPr="00EA0A41">
        <w:instrText xml:space="preserve"> REF _Ref39243485 \r \h </w:instrText>
      </w:r>
      <w:r>
        <w:fldChar w:fldCharType="separate"/>
      </w:r>
      <w:r w:rsidR="005A26D8">
        <w:t>[4]</w:t>
      </w:r>
      <w:r>
        <w:fldChar w:fldCharType="end"/>
      </w:r>
      <w:r w:rsidRPr="00EA0A41">
        <w:t xml:space="preserve">, was </w:t>
      </w:r>
      <w:r w:rsidRPr="00F12222">
        <w:t>(empirically)</w:t>
      </w:r>
      <w:r w:rsidRPr="00EA0A41">
        <w:t xml:space="preserve"> set to 3</w:t>
      </w:r>
      <w:r w:rsidRPr="00EA0A41">
        <w:rPr>
          <w:rFonts w:ascii="Times New Roman" w:hAnsi="Times New Roman"/>
        </w:rPr>
        <w:t>°.</w:t>
      </w:r>
    </w:p>
    <w:p w14:paraId="5FD642F9" w14:textId="77777777" w:rsidR="008A2C71" w:rsidRPr="00EA0A41" w:rsidRDefault="008A2C71" w:rsidP="008A2C71">
      <w:pPr>
        <w:pStyle w:val="BodyText"/>
      </w:pPr>
      <w:r w:rsidRPr="00EA0A41">
        <w:t xml:space="preserve">For the Indoor-Office scenario, the </w:t>
      </w:r>
      <w:r>
        <w:t>comprehensive</w:t>
      </w:r>
      <w:r w:rsidRPr="00EA0A41">
        <w:t xml:space="preserve"> list of calibrated of parameters is found in Table 7.5-6 Part-2. </w:t>
      </w:r>
      <w:r>
        <w:t xml:space="preserve">For the analysis in this contribution, values of DS, </w:t>
      </w:r>
      <w:proofErr w:type="spellStart"/>
      <w:r>
        <w:t>AoA</w:t>
      </w:r>
      <w:proofErr w:type="spellEnd"/>
      <w:r>
        <w:t xml:space="preserve"> spread, </w:t>
      </w:r>
      <w:proofErr w:type="spellStart"/>
      <w:r>
        <w:t>AoD</w:t>
      </w:r>
      <w:proofErr w:type="spellEnd"/>
      <w:r>
        <w:t xml:space="preserve"> spread and </w:t>
      </w:r>
      <w:proofErr w:type="spellStart"/>
      <w:r>
        <w:t>ZoA</w:t>
      </w:r>
      <w:proofErr w:type="spellEnd"/>
      <w:r>
        <w:t xml:space="preserve"> spread are assumed deterministic and their values equal to the mean values as defined in </w:t>
      </w:r>
      <w:r w:rsidRPr="00EA0A41">
        <w:t>Table 7.5-6 Part-</w:t>
      </w:r>
      <w:r>
        <w:t>2</w:t>
      </w:r>
      <w:r w:rsidRPr="00EA0A41">
        <w:t xml:space="preserve">. </w:t>
      </w:r>
      <w:r>
        <w:t>More specifically, the values of the aforementioned</w:t>
      </w:r>
      <w:r w:rsidRPr="00EA0A41">
        <w:t xml:space="preserve"> parameters for the current case study are:</w:t>
      </w:r>
    </w:p>
    <w:p w14:paraId="39D42D96" w14:textId="77777777" w:rsidR="008A2C71" w:rsidRPr="00EA0A41" w:rsidRDefault="008A2C71" w:rsidP="008A2C71">
      <w:pPr>
        <w:pStyle w:val="BodyText"/>
        <w:numPr>
          <w:ilvl w:val="0"/>
          <w:numId w:val="28"/>
        </w:numPr>
        <w:overflowPunct/>
        <w:autoSpaceDE/>
        <w:autoSpaceDN/>
        <w:adjustRightInd/>
        <w:spacing w:line="259" w:lineRule="auto"/>
        <w:textAlignment w:val="auto"/>
      </w:pPr>
      <w:r w:rsidRPr="00EA0A41">
        <w:t>DS=19.5ns, AOD spread =39.8</w:t>
      </w:r>
      <w:r w:rsidRPr="00EA0A41">
        <w:rPr>
          <w:rFonts w:ascii="Times New Roman" w:hAnsi="Times New Roman"/>
        </w:rPr>
        <w:t>°</w:t>
      </w:r>
      <w:r w:rsidRPr="00EA0A41">
        <w:t>, AOA spread =27.7</w:t>
      </w:r>
      <w:r w:rsidRPr="00EA0A41">
        <w:rPr>
          <w:rFonts w:ascii="Times New Roman" w:hAnsi="Times New Roman"/>
        </w:rPr>
        <w:t>°</w:t>
      </w:r>
      <w:r w:rsidRPr="00EA0A41">
        <w:t xml:space="preserve"> and ZOA spread =9.4</w:t>
      </w:r>
      <w:r w:rsidRPr="00EA0A41">
        <w:rPr>
          <w:rFonts w:ascii="Times New Roman" w:hAnsi="Times New Roman"/>
        </w:rPr>
        <w:t>°</w:t>
      </w:r>
      <w:r w:rsidRPr="00EA0A41">
        <w:t xml:space="preserve">   for the LOS case;</w:t>
      </w:r>
    </w:p>
    <w:p w14:paraId="1BE5B93F" w14:textId="77777777" w:rsidR="008A2C71" w:rsidRPr="00EA0A41" w:rsidRDefault="008A2C71" w:rsidP="008A2C71">
      <w:pPr>
        <w:pStyle w:val="BodyText"/>
        <w:numPr>
          <w:ilvl w:val="0"/>
          <w:numId w:val="28"/>
        </w:numPr>
        <w:overflowPunct/>
        <w:autoSpaceDE/>
        <w:autoSpaceDN/>
        <w:adjustRightInd/>
        <w:spacing w:line="259" w:lineRule="auto"/>
        <w:textAlignment w:val="auto"/>
      </w:pPr>
      <w:r w:rsidRPr="00EA0A41">
        <w:t>DS=21ns, AOD spread =41.7</w:t>
      </w:r>
      <w:r w:rsidRPr="00EA0A41">
        <w:rPr>
          <w:rFonts w:ascii="Times New Roman" w:hAnsi="Times New Roman"/>
        </w:rPr>
        <w:t>°</w:t>
      </w:r>
      <w:r w:rsidRPr="00EA0A41">
        <w:t>, AOA spread =46.4</w:t>
      </w:r>
      <w:r w:rsidRPr="00EA0A41">
        <w:rPr>
          <w:rFonts w:ascii="Times New Roman" w:hAnsi="Times New Roman"/>
        </w:rPr>
        <w:t>°</w:t>
      </w:r>
      <w:r w:rsidRPr="00EA0A41">
        <w:t xml:space="preserve"> and ZOA spread =13.2</w:t>
      </w:r>
      <w:r w:rsidRPr="00EA0A41">
        <w:rPr>
          <w:rFonts w:ascii="Times New Roman" w:hAnsi="Times New Roman"/>
        </w:rPr>
        <w:t>°</w:t>
      </w:r>
      <w:r w:rsidRPr="00EA0A41">
        <w:t xml:space="preserve">   for the NLOS case.</w:t>
      </w:r>
    </w:p>
    <w:p w14:paraId="570072FD" w14:textId="1A5E7126" w:rsidR="008A2C71" w:rsidRPr="00EA0A41" w:rsidRDefault="008A2C71" w:rsidP="008A2C71">
      <w:pPr>
        <w:pStyle w:val="BodyText"/>
      </w:pPr>
      <w:r w:rsidRPr="00EA0A41">
        <w:t xml:space="preserve">The ZOD, although not defined in </w:t>
      </w:r>
      <w:r>
        <w:fldChar w:fldCharType="begin"/>
      </w:r>
      <w:r w:rsidRPr="00EA0A41">
        <w:instrText xml:space="preserve"> REF _Ref39243485 \r \h </w:instrText>
      </w:r>
      <w:r>
        <w:fldChar w:fldCharType="separate"/>
      </w:r>
      <w:r w:rsidR="005A26D8">
        <w:t>[4]</w:t>
      </w:r>
      <w:r>
        <w:fldChar w:fldCharType="end"/>
      </w:r>
      <w:r w:rsidRPr="00EA0A41">
        <w:t xml:space="preserve">, was </w:t>
      </w:r>
      <w:r w:rsidRPr="00C37587">
        <w:t>(</w:t>
      </w:r>
      <w:r w:rsidRPr="00F12222">
        <w:t>empirically</w:t>
      </w:r>
      <w:r w:rsidRPr="00C37587">
        <w:t>)</w:t>
      </w:r>
      <w:r w:rsidRPr="00EA0A41">
        <w:t xml:space="preserve"> set to </w:t>
      </w:r>
      <w:r>
        <w:t>10</w:t>
      </w:r>
      <w:r w:rsidRPr="00EA0A41">
        <w:rPr>
          <w:rFonts w:ascii="Times New Roman" w:hAnsi="Times New Roman"/>
        </w:rPr>
        <w:t>°.</w:t>
      </w:r>
    </w:p>
    <w:p w14:paraId="47482A3A" w14:textId="29EF3E53" w:rsidR="008A2C71" w:rsidRPr="00EA0A41" w:rsidRDefault="008A2C71" w:rsidP="008A2C71">
      <w:pPr>
        <w:pStyle w:val="BodyText"/>
      </w:pPr>
      <w:r w:rsidRPr="00EA0A41">
        <w:t>We use the channel model CDL-D to evaluate channels under LOS conditions, and the channel model CDL-B to evaluate channels under NLOS conditions. Thus, the entire analysis is conducted for four different channel model calibrations: two distinct scenarios</w:t>
      </w:r>
      <w:r>
        <w:t xml:space="preserve"> (</w:t>
      </w:r>
      <w:proofErr w:type="spellStart"/>
      <w:r>
        <w:t>UMi</w:t>
      </w:r>
      <w:proofErr w:type="spellEnd"/>
      <w:r>
        <w:t xml:space="preserve"> – Street Canyon and Indoor-Office)</w:t>
      </w:r>
      <w:r w:rsidRPr="00EA0A41">
        <w:t>, and two channel conditions (one LOS and one NLOS) per scenario.</w:t>
      </w:r>
    </w:p>
    <w:p w14:paraId="3A99C7C3" w14:textId="1886AA21" w:rsidR="008A2C71" w:rsidRPr="00EA0A41" w:rsidRDefault="008A2C71" w:rsidP="008A2C71">
      <w:pPr>
        <w:pStyle w:val="BodyText"/>
      </w:pPr>
      <w:r w:rsidRPr="00EA0A41">
        <w:rPr>
          <w:u w:val="single"/>
        </w:rPr>
        <w:t>R.M.S. Delay Spread and SIR computations</w:t>
      </w:r>
    </w:p>
    <w:p w14:paraId="1959D3D1" w14:textId="7103D5B6" w:rsidR="2324DE12" w:rsidRDefault="008A2C71" w:rsidP="008A2C71">
      <w:pPr>
        <w:pStyle w:val="BodyText"/>
        <w:rPr>
          <w:rFonts w:eastAsiaTheme="minorEastAsia"/>
        </w:rPr>
      </w:pPr>
      <w:r w:rsidRPr="00242DF1">
        <w:t>Each sample of the R.M.S. delay spread CDFs (and SIR CDFs) shown in Section 4.2, can be interpreted as the resulting channel R.M.S. delay spread (or SIR) experienced by a moving user, after dropping such user with random orientation at a random position in the cell. This effect is emulated by, for each such user drop, sampling the mean angles (e.g., mean AOA) from their respective distributions (</w:t>
      </w:r>
      <w:r>
        <w:t>listed</w:t>
      </w:r>
      <w:r w:rsidRPr="00242DF1">
        <w:t xml:space="preserve"> in the beginning of Annex A) and randomizing the UE orientation. With such setting of mean angles, orientation, and remaining parameters of the channel model, a channel </w:t>
      </w:r>
      <w:r>
        <w:t>initialization</w:t>
      </w:r>
      <w:r w:rsidRPr="00242DF1">
        <w:t xml:space="preserve"> is obtained. Beam</w:t>
      </w:r>
      <w:r>
        <w:t>forming</w:t>
      </w:r>
      <w:r w:rsidRPr="00242DF1">
        <w:t xml:space="preserve"> takes place based on this initial channel realization as described below. Then, from this channel </w:t>
      </w:r>
      <w:r>
        <w:t>initialization</w:t>
      </w:r>
      <w:r w:rsidRPr="00242DF1">
        <w:t>, we obtain 50 other channel realizations, which correspond to the channels of 50 consecutive slots experienced by a moving user after being dropped. We denote these 50 channels as a (coherent) channel block.  To generate such channel block, the large-scale parameters (</w:t>
      </w:r>
      <w:r>
        <w:t xml:space="preserve">such </w:t>
      </w:r>
      <w:r w:rsidRPr="00242DF1">
        <w:t>as mean angles) are kept fixed, but we allow fast fading to occur (due the non-zero speed of the UE).  This channel block, of which a given beam pair operates, are used to compute a power delay profile {</w:t>
      </w:r>
      <m:oMath>
        <m:sSub>
          <m:sSubPr>
            <m:ctrlPr>
              <w:rPr>
                <w:rFonts w:ascii="Cambria Math" w:hAnsi="Cambria Math"/>
                <w:i/>
              </w:rPr>
            </m:ctrlPr>
          </m:sSubPr>
          <m:e>
            <m:r>
              <w:rPr>
                <w:rFonts w:ascii="Cambria Math" w:hAnsi="Cambria Math"/>
              </w:rPr>
              <m:t>p</m:t>
            </m:r>
          </m:e>
          <m:sub>
            <m:r>
              <w:rPr>
                <w:rFonts w:ascii="Cambria Math" w:hAnsi="Cambria Math"/>
              </w:rPr>
              <m:t>n</m:t>
            </m:r>
          </m:sub>
        </m:sSub>
      </m:oMath>
      <w:r w:rsidRPr="00242DF1">
        <w:t>,</w:t>
      </w:r>
      <w:r>
        <w:t xml:space="preserve"> </w:t>
      </w:r>
      <m:oMath>
        <m:sSub>
          <m:sSubPr>
            <m:ctrlPr>
              <w:rPr>
                <w:rFonts w:ascii="Cambria Math" w:hAnsi="Cambria Math"/>
                <w:i/>
              </w:rPr>
            </m:ctrlPr>
          </m:sSubPr>
          <m:e>
            <m:r>
              <w:rPr>
                <w:rFonts w:ascii="Cambria Math" w:hAnsi="Cambria Math"/>
              </w:rPr>
              <m:t>τ</m:t>
            </m:r>
          </m:e>
          <m:sub>
            <m:r>
              <w:rPr>
                <w:rFonts w:ascii="Cambria Math" w:hAnsi="Cambria Math"/>
              </w:rPr>
              <m:t>n</m:t>
            </m:r>
          </m:sub>
        </m:sSub>
      </m:oMath>
      <w:r w:rsidRPr="00242DF1">
        <w:t>}, which are used in Section 4.2 to calculate a sample of power weighted mean delay, root mean square delay spread, and signal-to-ISI ratio. The CDFs of Section 4.2 can thus be seen as the range of r,m.s. delay spread (and SIR) values that a moving user, with arbitrary rotation, experiences across the different positions of the cell.</w:t>
      </w:r>
    </w:p>
    <w:p w14:paraId="57BB59C0" w14:textId="77777777" w:rsidR="008A2C71" w:rsidRPr="00EA0A41" w:rsidRDefault="008A2C71" w:rsidP="008A2C71">
      <w:pPr>
        <w:pStyle w:val="BodyText"/>
        <w:rPr>
          <w:u w:val="single"/>
        </w:rPr>
      </w:pPr>
      <w:r w:rsidRPr="00EA0A41">
        <w:rPr>
          <w:u w:val="single"/>
        </w:rPr>
        <w:t>Antenna array and beamforming configurations</w:t>
      </w:r>
    </w:p>
    <w:p w14:paraId="496F00F4" w14:textId="225F0F5F" w:rsidR="008A2C71" w:rsidRPr="00EA0A41" w:rsidRDefault="008A2C71" w:rsidP="008A2C71">
      <w:pPr>
        <w:pStyle w:val="BodyText"/>
      </w:pPr>
      <w:r>
        <w:t xml:space="preserve">In the current evaluations, each end of the link is equipped with a single panel. Each panel contains dual-polarized antennas, and each polarization is associated with a respective transceiver chain. The UE’s panel is always a </w:t>
      </w:r>
      <w:r w:rsidR="000009D5">
        <w:t>squ</w:t>
      </w:r>
      <w:r w:rsidR="2EB4C43F">
        <w:t>a</w:t>
      </w:r>
      <w:r w:rsidR="000009D5">
        <w:t xml:space="preserve">re </w:t>
      </w:r>
      <w:r>
        <w:t xml:space="preserve">panel, and the </w:t>
      </w:r>
      <w:proofErr w:type="spellStart"/>
      <w:r>
        <w:t>gNB’s</w:t>
      </w:r>
      <w:proofErr w:type="spellEnd"/>
      <w:r>
        <w:t xml:space="preserve"> panel is a rectangular panel of variable dimensions. Two-dimensional fixed grid-of-beams DFT codebooks are used for beamforming at both ends of the link, and the same DFT beam is applied to both polarizations at a certain end of the link.</w:t>
      </w:r>
    </w:p>
    <w:p w14:paraId="42846130" w14:textId="41C97692" w:rsidR="008A2C71" w:rsidRPr="00EA0A41" w:rsidRDefault="008A2C71" w:rsidP="008A2C71">
      <w:pPr>
        <w:pStyle w:val="BodyText"/>
      </w:pPr>
      <w:r w:rsidRPr="00EA0A41">
        <w:lastRenderedPageBreak/>
        <w:t>Beam pair establishment (i.e. locking) is done via a full beam sweep performed jointly at both ends of the link (i.e. by testing over all possible beam pair</w:t>
      </w:r>
      <w:r>
        <w:t xml:space="preserve"> combinations</w:t>
      </w:r>
      <w:r w:rsidRPr="00EA0A41">
        <w:t xml:space="preserve">). Beam pair selection is done via maximization of the received signal strength across the two received polarizations (i.e. summing up the energy received in the horizontal polarization with the energy received in vertical polarization, over the 2GHz BW). </w:t>
      </w:r>
      <w:r>
        <w:t>In the process of beam pair establishment, the channel is assumed perfectly known, i.e. beam establishment is not based on channel estimates from reference signals.</w:t>
      </w:r>
    </w:p>
    <w:p w14:paraId="6B915264" w14:textId="77777777" w:rsidR="008A2C71" w:rsidRDefault="008A2C71" w:rsidP="008A2C71">
      <w:pPr>
        <w:pStyle w:val="BodyText"/>
      </w:pPr>
      <w:r w:rsidRPr="00B75F74">
        <w:t xml:space="preserve">Beam pair establishment is done once per user drop, based </w:t>
      </w:r>
      <w:r>
        <w:t>on the</w:t>
      </w:r>
      <w:r w:rsidRPr="00B75F74">
        <w:t xml:space="preserve"> </w:t>
      </w:r>
      <w:r>
        <w:t xml:space="preserve">fading </w:t>
      </w:r>
      <w:r w:rsidRPr="00B75F74">
        <w:t xml:space="preserve">channel </w:t>
      </w:r>
      <w:r>
        <w:t xml:space="preserve">at the beginning of </w:t>
      </w:r>
      <w:r w:rsidRPr="00B75F74">
        <w:t>a block</w:t>
      </w:r>
      <w:r>
        <w:t xml:space="preserve"> of 50 slots</w:t>
      </w:r>
      <w:r w:rsidRPr="00B75F74">
        <w:t xml:space="preserve">. The established beam pair is then used across </w:t>
      </w:r>
      <w:r>
        <w:t>all</w:t>
      </w:r>
      <w:r w:rsidRPr="00B75F74">
        <w:t xml:space="preserve"> 50 slots. After such 50 slots have passed, the beam pair establishment procedure mentioned above is repeated with an independent channel realization – obtained from another user drop - and the established beam pair is used across the next 50 slots. </w:t>
      </w:r>
    </w:p>
    <w:p w14:paraId="61B7A483" w14:textId="77777777" w:rsidR="00FF40BB" w:rsidRDefault="00FF40BB" w:rsidP="008A2C71">
      <w:pPr>
        <w:pStyle w:val="BodyText"/>
      </w:pPr>
    </w:p>
    <w:p w14:paraId="4112AC02" w14:textId="535455AA" w:rsidR="008A2C71" w:rsidRPr="00CE0424" w:rsidRDefault="008A2C71" w:rsidP="008A2C71">
      <w:pPr>
        <w:pStyle w:val="Heading1"/>
      </w:pPr>
      <w:r>
        <w:t>Annex B</w:t>
      </w:r>
      <w:r>
        <w:tab/>
        <w:t xml:space="preserve">Phase </w:t>
      </w:r>
      <w:r w:rsidR="00FF40BB">
        <w:t>n</w:t>
      </w:r>
      <w:r>
        <w:t xml:space="preserve">oise </w:t>
      </w:r>
      <w:r w:rsidR="00FF40BB">
        <w:t>e</w:t>
      </w:r>
      <w:r>
        <w:t>valuation assumptions</w:t>
      </w:r>
    </w:p>
    <w:tbl>
      <w:tblPr>
        <w:tblStyle w:val="TableGrid"/>
        <w:tblW w:w="9687" w:type="dxa"/>
        <w:tblInd w:w="-5" w:type="dxa"/>
        <w:tblLook w:val="04A0" w:firstRow="1" w:lastRow="0" w:firstColumn="1" w:lastColumn="0" w:noHBand="0" w:noVBand="1"/>
      </w:tblPr>
      <w:tblGrid>
        <w:gridCol w:w="2880"/>
        <w:gridCol w:w="1251"/>
        <w:gridCol w:w="1111"/>
        <w:gridCol w:w="1111"/>
        <w:gridCol w:w="1111"/>
        <w:gridCol w:w="1111"/>
        <w:gridCol w:w="1112"/>
      </w:tblGrid>
      <w:tr w:rsidR="008A2C71" w14:paraId="277CDE5F"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hideMark/>
          </w:tcPr>
          <w:p w14:paraId="045D8EF0" w14:textId="77777777" w:rsidR="008A2C71" w:rsidRPr="00847702" w:rsidRDefault="008A2C71">
            <w:pPr>
              <w:pStyle w:val="Default"/>
              <w:spacing w:before="20" w:after="20"/>
              <w:rPr>
                <w:sz w:val="20"/>
                <w:szCs w:val="20"/>
              </w:rPr>
            </w:pPr>
            <w:r w:rsidRPr="00847702">
              <w:rPr>
                <w:sz w:val="20"/>
                <w:szCs w:val="20"/>
              </w:rPr>
              <w:t>Carrier frequency</w:t>
            </w:r>
          </w:p>
        </w:tc>
        <w:tc>
          <w:tcPr>
            <w:tcW w:w="6807" w:type="dxa"/>
            <w:gridSpan w:val="6"/>
            <w:tcBorders>
              <w:top w:val="single" w:sz="4" w:space="0" w:color="auto"/>
              <w:left w:val="single" w:sz="4" w:space="0" w:color="auto"/>
              <w:bottom w:val="single" w:sz="4" w:space="0" w:color="auto"/>
              <w:right w:val="single" w:sz="4" w:space="0" w:color="auto"/>
            </w:tcBorders>
            <w:vAlign w:val="center"/>
            <w:hideMark/>
          </w:tcPr>
          <w:p w14:paraId="1441483C" w14:textId="77777777" w:rsidR="008A2C71" w:rsidRPr="002D6D44" w:rsidRDefault="008A2C71">
            <w:pPr>
              <w:pStyle w:val="Default"/>
              <w:spacing w:before="20" w:after="20"/>
              <w:rPr>
                <w:sz w:val="20"/>
                <w:szCs w:val="20"/>
              </w:rPr>
            </w:pPr>
            <w:r w:rsidRPr="002D6D44">
              <w:rPr>
                <w:sz w:val="20"/>
                <w:szCs w:val="20"/>
              </w:rPr>
              <w:t>60 GHz</w:t>
            </w:r>
          </w:p>
        </w:tc>
      </w:tr>
      <w:tr w:rsidR="008A2C71" w14:paraId="3728EFCF"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hideMark/>
          </w:tcPr>
          <w:p w14:paraId="7C6B9B4E" w14:textId="77777777" w:rsidR="008A2C71" w:rsidRPr="00847702" w:rsidRDefault="008A2C71">
            <w:pPr>
              <w:pStyle w:val="Default"/>
              <w:spacing w:before="20" w:after="20"/>
              <w:rPr>
                <w:sz w:val="20"/>
                <w:szCs w:val="20"/>
              </w:rPr>
            </w:pPr>
            <w:r w:rsidRPr="00847702">
              <w:rPr>
                <w:sz w:val="20"/>
                <w:szCs w:val="20"/>
              </w:rPr>
              <w:t>Bandwidth</w:t>
            </w:r>
          </w:p>
        </w:tc>
        <w:tc>
          <w:tcPr>
            <w:tcW w:w="3473" w:type="dxa"/>
            <w:gridSpan w:val="3"/>
            <w:tcBorders>
              <w:top w:val="single" w:sz="4" w:space="0" w:color="auto"/>
              <w:left w:val="single" w:sz="4" w:space="0" w:color="auto"/>
              <w:bottom w:val="single" w:sz="4" w:space="0" w:color="auto"/>
              <w:right w:val="single" w:sz="4" w:space="0" w:color="auto"/>
            </w:tcBorders>
            <w:vAlign w:val="center"/>
            <w:hideMark/>
          </w:tcPr>
          <w:p w14:paraId="4731F366" w14:textId="77777777" w:rsidR="008A2C71" w:rsidRPr="002D6D44" w:rsidRDefault="008A2C71">
            <w:pPr>
              <w:pStyle w:val="Default"/>
              <w:spacing w:before="20" w:after="20"/>
              <w:rPr>
                <w:sz w:val="20"/>
                <w:szCs w:val="20"/>
              </w:rPr>
            </w:pPr>
            <w:r w:rsidRPr="002D6D44">
              <w:rPr>
                <w:sz w:val="20"/>
                <w:szCs w:val="20"/>
              </w:rPr>
              <w:t>400 MHz</w:t>
            </w:r>
          </w:p>
        </w:tc>
        <w:tc>
          <w:tcPr>
            <w:tcW w:w="3334" w:type="dxa"/>
            <w:gridSpan w:val="3"/>
            <w:tcBorders>
              <w:top w:val="single" w:sz="4" w:space="0" w:color="auto"/>
              <w:left w:val="single" w:sz="4" w:space="0" w:color="auto"/>
              <w:bottom w:val="single" w:sz="4" w:space="0" w:color="auto"/>
              <w:right w:val="single" w:sz="4" w:space="0" w:color="auto"/>
            </w:tcBorders>
            <w:vAlign w:val="center"/>
            <w:hideMark/>
          </w:tcPr>
          <w:p w14:paraId="625377D4" w14:textId="77777777" w:rsidR="008A2C71" w:rsidRPr="002D6D44" w:rsidRDefault="008A2C71">
            <w:pPr>
              <w:pStyle w:val="Default"/>
              <w:spacing w:before="20" w:after="20"/>
              <w:rPr>
                <w:sz w:val="20"/>
                <w:szCs w:val="20"/>
              </w:rPr>
            </w:pPr>
            <w:r w:rsidRPr="002D6D44">
              <w:rPr>
                <w:sz w:val="20"/>
                <w:szCs w:val="20"/>
              </w:rPr>
              <w:t>2 GHz</w:t>
            </w:r>
          </w:p>
        </w:tc>
      </w:tr>
      <w:tr w:rsidR="008A2C71" w14:paraId="3B0851A9" w14:textId="77777777" w:rsidTr="00FB6421">
        <w:trPr>
          <w:trHeight w:val="422"/>
        </w:trPr>
        <w:tc>
          <w:tcPr>
            <w:tcW w:w="2880" w:type="dxa"/>
            <w:tcBorders>
              <w:top w:val="single" w:sz="4" w:space="0" w:color="auto"/>
              <w:left w:val="single" w:sz="4" w:space="0" w:color="auto"/>
              <w:bottom w:val="single" w:sz="4" w:space="0" w:color="auto"/>
              <w:right w:val="single" w:sz="4" w:space="0" w:color="auto"/>
            </w:tcBorders>
            <w:vAlign w:val="center"/>
            <w:hideMark/>
          </w:tcPr>
          <w:p w14:paraId="3884B257" w14:textId="77777777" w:rsidR="008A2C71" w:rsidRPr="00847702" w:rsidRDefault="008A2C71">
            <w:pPr>
              <w:pStyle w:val="Default"/>
              <w:spacing w:before="20" w:after="20"/>
              <w:rPr>
                <w:sz w:val="20"/>
                <w:szCs w:val="20"/>
              </w:rPr>
            </w:pPr>
            <w:r w:rsidRPr="00847702">
              <w:rPr>
                <w:sz w:val="20"/>
                <w:szCs w:val="20"/>
              </w:rPr>
              <w:t>Subcarrier Spacing [kHz]</w:t>
            </w:r>
          </w:p>
        </w:tc>
        <w:tc>
          <w:tcPr>
            <w:tcW w:w="1251" w:type="dxa"/>
            <w:tcBorders>
              <w:top w:val="single" w:sz="4" w:space="0" w:color="auto"/>
              <w:left w:val="single" w:sz="4" w:space="0" w:color="auto"/>
              <w:bottom w:val="single" w:sz="4" w:space="0" w:color="auto"/>
              <w:right w:val="single" w:sz="4" w:space="0" w:color="auto"/>
            </w:tcBorders>
            <w:vAlign w:val="center"/>
            <w:hideMark/>
          </w:tcPr>
          <w:p w14:paraId="55BA7AC9" w14:textId="77777777" w:rsidR="008A2C71" w:rsidRPr="002D6D44" w:rsidRDefault="008A2C71">
            <w:pPr>
              <w:pStyle w:val="Default"/>
              <w:spacing w:before="20" w:after="20"/>
              <w:rPr>
                <w:sz w:val="20"/>
                <w:szCs w:val="20"/>
              </w:rPr>
            </w:pPr>
            <w:r w:rsidRPr="002D6D44">
              <w:rPr>
                <w:sz w:val="20"/>
                <w:szCs w:val="20"/>
              </w:rPr>
              <w:t>240</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E056049" w14:textId="77777777" w:rsidR="008A2C71" w:rsidRPr="002D6D44" w:rsidRDefault="008A2C71">
            <w:pPr>
              <w:pStyle w:val="Default"/>
              <w:spacing w:before="20" w:after="20"/>
              <w:rPr>
                <w:sz w:val="20"/>
                <w:szCs w:val="20"/>
              </w:rPr>
            </w:pPr>
            <w:r w:rsidRPr="002D6D44">
              <w:rPr>
                <w:sz w:val="20"/>
                <w:szCs w:val="20"/>
              </w:rPr>
              <w:t xml:space="preserve">480 </w:t>
            </w:r>
          </w:p>
        </w:tc>
        <w:tc>
          <w:tcPr>
            <w:tcW w:w="1111" w:type="dxa"/>
            <w:tcBorders>
              <w:top w:val="single" w:sz="4" w:space="0" w:color="auto"/>
              <w:left w:val="single" w:sz="4" w:space="0" w:color="auto"/>
              <w:bottom w:val="single" w:sz="4" w:space="0" w:color="auto"/>
              <w:right w:val="single" w:sz="4" w:space="0" w:color="auto"/>
            </w:tcBorders>
            <w:vAlign w:val="center"/>
          </w:tcPr>
          <w:p w14:paraId="5F4BC69B" w14:textId="77777777" w:rsidR="008A2C71" w:rsidRPr="002D6D44" w:rsidRDefault="008A2C71">
            <w:pPr>
              <w:pStyle w:val="Default"/>
              <w:spacing w:before="20" w:after="20"/>
              <w:rPr>
                <w:sz w:val="20"/>
                <w:szCs w:val="20"/>
              </w:rPr>
            </w:pPr>
            <w:r w:rsidRPr="002D6D44">
              <w:rPr>
                <w:sz w:val="20"/>
                <w:szCs w:val="20"/>
              </w:rPr>
              <w:t>960</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90F0C56" w14:textId="77777777" w:rsidR="008A2C71" w:rsidRPr="002D6D44" w:rsidRDefault="008A2C71">
            <w:pPr>
              <w:pStyle w:val="Default"/>
              <w:spacing w:before="20" w:after="20"/>
              <w:rPr>
                <w:sz w:val="20"/>
                <w:szCs w:val="20"/>
              </w:rPr>
            </w:pPr>
            <w:r w:rsidRPr="002D6D44">
              <w:rPr>
                <w:sz w:val="20"/>
                <w:szCs w:val="20"/>
              </w:rPr>
              <w:t>960</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592BE3" w14:textId="77777777" w:rsidR="008A2C71" w:rsidRPr="002D6D44" w:rsidRDefault="008A2C71">
            <w:pPr>
              <w:pStyle w:val="Default"/>
              <w:spacing w:before="20" w:after="20"/>
              <w:rPr>
                <w:sz w:val="20"/>
                <w:szCs w:val="20"/>
              </w:rPr>
            </w:pPr>
            <w:r w:rsidRPr="002D6D44">
              <w:rPr>
                <w:sz w:val="20"/>
                <w:szCs w:val="20"/>
              </w:rPr>
              <w:t xml:space="preserve">1920 </w:t>
            </w:r>
          </w:p>
        </w:tc>
        <w:tc>
          <w:tcPr>
            <w:tcW w:w="1112" w:type="dxa"/>
            <w:tcBorders>
              <w:top w:val="single" w:sz="4" w:space="0" w:color="auto"/>
              <w:left w:val="single" w:sz="4" w:space="0" w:color="auto"/>
              <w:bottom w:val="single" w:sz="4" w:space="0" w:color="auto"/>
              <w:right w:val="single" w:sz="4" w:space="0" w:color="auto"/>
            </w:tcBorders>
            <w:vAlign w:val="center"/>
          </w:tcPr>
          <w:p w14:paraId="64F58BFD" w14:textId="77777777" w:rsidR="008A2C71" w:rsidRPr="002D6D44" w:rsidRDefault="008A2C71">
            <w:pPr>
              <w:pStyle w:val="Default"/>
              <w:spacing w:before="20" w:after="20"/>
              <w:rPr>
                <w:sz w:val="20"/>
                <w:szCs w:val="20"/>
              </w:rPr>
            </w:pPr>
            <w:r w:rsidRPr="002D6D44">
              <w:rPr>
                <w:sz w:val="20"/>
                <w:szCs w:val="20"/>
              </w:rPr>
              <w:t>3840</w:t>
            </w:r>
          </w:p>
        </w:tc>
      </w:tr>
      <w:tr w:rsidR="00C9529A" w14:paraId="238ED434" w14:textId="77777777" w:rsidTr="00B53907">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56471312" w14:textId="671C1A75" w:rsidR="00C9529A" w:rsidRPr="00847702" w:rsidRDefault="00C9529A">
            <w:pPr>
              <w:pStyle w:val="Default"/>
              <w:spacing w:before="20" w:after="20"/>
              <w:rPr>
                <w:sz w:val="20"/>
                <w:szCs w:val="20"/>
              </w:rPr>
            </w:pPr>
            <w:r w:rsidRPr="00847702">
              <w:rPr>
                <w:sz w:val="20"/>
                <w:szCs w:val="20"/>
              </w:rPr>
              <w:t>Cyclic prefix</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7FB37B51" w14:textId="3E2CECE7" w:rsidR="00C9529A" w:rsidRPr="002D6D44" w:rsidRDefault="00C9529A">
            <w:pPr>
              <w:pStyle w:val="Default"/>
              <w:rPr>
                <w:sz w:val="20"/>
                <w:szCs w:val="20"/>
              </w:rPr>
            </w:pPr>
            <w:r w:rsidRPr="002D6D44">
              <w:rPr>
                <w:sz w:val="20"/>
                <w:szCs w:val="20"/>
              </w:rPr>
              <w:t>Normal cyclic prefix</w:t>
            </w:r>
          </w:p>
        </w:tc>
      </w:tr>
      <w:tr w:rsidR="008A2C71" w14:paraId="6B8560F1"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493197B0" w14:textId="77777777" w:rsidR="008A2C71" w:rsidRPr="00847702" w:rsidRDefault="008A2C71">
            <w:pPr>
              <w:pStyle w:val="Default"/>
              <w:spacing w:before="20" w:after="20"/>
              <w:rPr>
                <w:sz w:val="20"/>
                <w:szCs w:val="20"/>
              </w:rPr>
            </w:pPr>
            <w:r w:rsidRPr="00847702">
              <w:rPr>
                <w:sz w:val="20"/>
                <w:szCs w:val="20"/>
              </w:rPr>
              <w:t>Indoor office scenario</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23F6F786" w14:textId="03CC2359" w:rsidR="007C191C" w:rsidRPr="002D6D44" w:rsidRDefault="007C191C">
            <w:pPr>
              <w:pStyle w:val="Default"/>
              <w:rPr>
                <w:sz w:val="20"/>
                <w:szCs w:val="20"/>
              </w:rPr>
            </w:pPr>
            <w:r w:rsidRPr="002D6D44">
              <w:rPr>
                <w:sz w:val="20"/>
                <w:szCs w:val="20"/>
              </w:rPr>
              <w:t>Array configuration</w:t>
            </w:r>
          </w:p>
          <w:p w14:paraId="0B019734" w14:textId="77777777" w:rsidR="007C191C" w:rsidRPr="002D6D44" w:rsidRDefault="007C191C" w:rsidP="007C191C">
            <w:pPr>
              <w:pStyle w:val="Default"/>
              <w:numPr>
                <w:ilvl w:val="0"/>
                <w:numId w:val="24"/>
              </w:numPr>
              <w:ind w:left="346" w:hanging="180"/>
              <w:rPr>
                <w:sz w:val="20"/>
                <w:szCs w:val="20"/>
              </w:rPr>
            </w:pPr>
            <w:r w:rsidRPr="002D6D44">
              <w:rPr>
                <w:sz w:val="20"/>
                <w:szCs w:val="20"/>
              </w:rPr>
              <w:t>BS: (M,N,P,Mg,Ng)=(4,8,2,1,1), (dv,dH)=(0.5,0.5)λ.</w:t>
            </w:r>
          </w:p>
          <w:p w14:paraId="571265A7" w14:textId="77777777" w:rsidR="007C191C" w:rsidRPr="002D6D44" w:rsidRDefault="007C191C" w:rsidP="007C191C">
            <w:pPr>
              <w:pStyle w:val="Default"/>
              <w:numPr>
                <w:ilvl w:val="0"/>
                <w:numId w:val="24"/>
              </w:numPr>
              <w:ind w:left="346" w:hanging="180"/>
              <w:rPr>
                <w:sz w:val="20"/>
                <w:szCs w:val="20"/>
              </w:rPr>
            </w:pPr>
            <w:r w:rsidRPr="002D6D44">
              <w:rPr>
                <w:sz w:val="20"/>
                <w:szCs w:val="20"/>
              </w:rPr>
              <w:t>UE: (M,N,P,Mg,Ng)=(2,2,2,1,1), (dv,dH)=(0.5,0.5)λ.</w:t>
            </w:r>
          </w:p>
          <w:p w14:paraId="1648F5E8" w14:textId="5C5D077B" w:rsidR="00384B7F" w:rsidRPr="00FB6421" w:rsidRDefault="00384B7F">
            <w:pPr>
              <w:pStyle w:val="Default"/>
              <w:rPr>
                <w:sz w:val="20"/>
                <w:szCs w:val="20"/>
                <w:lang w:val="en-US"/>
              </w:rPr>
            </w:pPr>
            <w:r w:rsidRPr="002D6D44">
              <w:rPr>
                <w:sz w:val="20"/>
                <w:szCs w:val="20"/>
              </w:rPr>
              <w:t>Channel model</w:t>
            </w:r>
          </w:p>
          <w:p w14:paraId="7B04C322" w14:textId="4DBF0C85" w:rsidR="008A2C71" w:rsidRPr="002D6D44" w:rsidRDefault="00384B7F">
            <w:pPr>
              <w:pStyle w:val="Default"/>
              <w:spacing w:before="20" w:after="20"/>
              <w:rPr>
                <w:sz w:val="20"/>
                <w:szCs w:val="20"/>
              </w:rPr>
            </w:pPr>
            <w:r w:rsidRPr="002D6D44">
              <w:rPr>
                <w:sz w:val="20"/>
                <w:szCs w:val="20"/>
              </w:rPr>
              <w:t xml:space="preserve">  </w:t>
            </w:r>
            <w:r w:rsidR="008A2C71" w:rsidRPr="002D6D44">
              <w:rPr>
                <w:sz w:val="20"/>
                <w:szCs w:val="20"/>
              </w:rPr>
              <w:t>(1) CDL-D, DS = 19.5 ns</w:t>
            </w:r>
          </w:p>
          <w:p w14:paraId="00BEEBBD" w14:textId="602011D6" w:rsidR="008A2C71" w:rsidRPr="002D6D44" w:rsidRDefault="00384B7F">
            <w:pPr>
              <w:pStyle w:val="Default"/>
              <w:spacing w:before="20" w:after="20"/>
              <w:rPr>
                <w:sz w:val="20"/>
                <w:szCs w:val="20"/>
              </w:rPr>
            </w:pPr>
            <w:r w:rsidRPr="002D6D44">
              <w:rPr>
                <w:sz w:val="20"/>
                <w:szCs w:val="20"/>
              </w:rPr>
              <w:t xml:space="preserve">  </w:t>
            </w:r>
            <w:r w:rsidR="008A2C71" w:rsidRPr="002D6D44">
              <w:rPr>
                <w:sz w:val="20"/>
                <w:szCs w:val="20"/>
              </w:rPr>
              <w:t>(2) CDL-B, DS = 21 ns</w:t>
            </w:r>
          </w:p>
          <w:p w14:paraId="376652DB" w14:textId="77777777" w:rsidR="008A2C71" w:rsidRPr="00FB6421" w:rsidRDefault="008A2C71">
            <w:pPr>
              <w:pStyle w:val="Default"/>
              <w:spacing w:before="20" w:after="20"/>
              <w:rPr>
                <w:sz w:val="20"/>
                <w:szCs w:val="20"/>
                <w:lang w:val="en-US"/>
              </w:rPr>
            </w:pPr>
            <w:r w:rsidRPr="002D6D44">
              <w:rPr>
                <w:sz w:val="20"/>
                <w:szCs w:val="20"/>
              </w:rPr>
              <w:t>Further channel parameters and distributions listed in Annex A.</w:t>
            </w:r>
          </w:p>
        </w:tc>
      </w:tr>
      <w:tr w:rsidR="008A2C71" w14:paraId="1D367AB6"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76E4EA7E" w14:textId="77777777" w:rsidR="008A2C71" w:rsidRPr="00847702" w:rsidRDefault="008A2C71">
            <w:pPr>
              <w:pStyle w:val="Default"/>
              <w:spacing w:before="20" w:after="20"/>
              <w:rPr>
                <w:sz w:val="20"/>
                <w:szCs w:val="20"/>
              </w:rPr>
            </w:pPr>
            <w:r w:rsidRPr="00847702">
              <w:rPr>
                <w:sz w:val="20"/>
                <w:szCs w:val="20"/>
              </w:rPr>
              <w:t>UMi scenario</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2BD2D77E" w14:textId="56CFC935" w:rsidR="009C274E" w:rsidRPr="002D6D44" w:rsidRDefault="009C274E" w:rsidP="006A3FED">
            <w:pPr>
              <w:pStyle w:val="Default"/>
              <w:rPr>
                <w:sz w:val="20"/>
                <w:szCs w:val="20"/>
              </w:rPr>
            </w:pPr>
            <w:r w:rsidRPr="002D6D44">
              <w:rPr>
                <w:sz w:val="20"/>
                <w:szCs w:val="20"/>
              </w:rPr>
              <w:t>Array configuration I</w:t>
            </w:r>
          </w:p>
          <w:p w14:paraId="58387359" w14:textId="77777777" w:rsidR="00E3240C" w:rsidRPr="002D6D44" w:rsidRDefault="00FD6485" w:rsidP="00391438">
            <w:pPr>
              <w:pStyle w:val="Default"/>
              <w:numPr>
                <w:ilvl w:val="0"/>
                <w:numId w:val="24"/>
              </w:numPr>
              <w:ind w:left="346" w:hanging="180"/>
              <w:rPr>
                <w:sz w:val="20"/>
                <w:szCs w:val="20"/>
              </w:rPr>
            </w:pPr>
            <w:r w:rsidRPr="002D6D44">
              <w:rPr>
                <w:sz w:val="20"/>
                <w:szCs w:val="20"/>
              </w:rPr>
              <w:t>BS: (M,N,P,Mg,Ng)=(4,8,2,1,1), (dv,dH)=(0.5,0.5)λ.</w:t>
            </w:r>
          </w:p>
          <w:p w14:paraId="361532DF" w14:textId="0D72E42F" w:rsidR="00391438" w:rsidRPr="00FB6421" w:rsidRDefault="00391438" w:rsidP="00FB6421">
            <w:pPr>
              <w:pStyle w:val="Default"/>
              <w:numPr>
                <w:ilvl w:val="0"/>
                <w:numId w:val="24"/>
              </w:numPr>
              <w:ind w:left="346" w:hanging="180"/>
              <w:rPr>
                <w:sz w:val="20"/>
                <w:szCs w:val="20"/>
              </w:rPr>
            </w:pPr>
            <w:r w:rsidRPr="002D6D44">
              <w:rPr>
                <w:sz w:val="20"/>
                <w:szCs w:val="20"/>
              </w:rPr>
              <w:t>UE: (M,N,P,Mg,Ng)=(2,2,2,1,1), (dv,dH)=(0.5,0.5)λ.</w:t>
            </w:r>
          </w:p>
          <w:p w14:paraId="6CF1D0C4" w14:textId="307F2C5E" w:rsidR="00E3240C" w:rsidRPr="002D6D44" w:rsidRDefault="00E3240C" w:rsidP="00E3240C">
            <w:pPr>
              <w:pStyle w:val="Default"/>
              <w:rPr>
                <w:sz w:val="20"/>
                <w:szCs w:val="20"/>
              </w:rPr>
            </w:pPr>
            <w:r w:rsidRPr="002D6D44">
              <w:rPr>
                <w:sz w:val="20"/>
                <w:szCs w:val="20"/>
              </w:rPr>
              <w:t>Array configuration II</w:t>
            </w:r>
          </w:p>
          <w:p w14:paraId="37031B9F" w14:textId="58909920" w:rsidR="00E3240C" w:rsidRPr="00FB6421" w:rsidRDefault="00E3240C" w:rsidP="00FB6421">
            <w:pPr>
              <w:pStyle w:val="Default"/>
              <w:numPr>
                <w:ilvl w:val="0"/>
                <w:numId w:val="24"/>
              </w:numPr>
              <w:ind w:left="346" w:hanging="180"/>
              <w:rPr>
                <w:sz w:val="20"/>
                <w:szCs w:val="20"/>
                <w:lang w:val="en-US"/>
              </w:rPr>
            </w:pPr>
            <w:r w:rsidRPr="00FB6421">
              <w:rPr>
                <w:rFonts w:eastAsiaTheme="minorHAnsi"/>
                <w:sz w:val="20"/>
                <w:szCs w:val="20"/>
              </w:rPr>
              <w:t>BS:</w:t>
            </w:r>
            <w:r w:rsidR="008A2C71" w:rsidRPr="00FB6421">
              <w:rPr>
                <w:rFonts w:eastAsiaTheme="minorHAnsi"/>
                <w:sz w:val="20"/>
                <w:szCs w:val="20"/>
              </w:rPr>
              <w:t xml:space="preserve"> (M,N,P,Mg,Ng)=(8,16,2,1,1), (dv,dH)=(0.5,0.5)λ.</w:t>
            </w:r>
          </w:p>
          <w:p w14:paraId="04A31DAC" w14:textId="2E23423D" w:rsidR="00EF667E" w:rsidRPr="002D6D44" w:rsidRDefault="00EF667E" w:rsidP="00FB6421">
            <w:pPr>
              <w:pStyle w:val="Default"/>
              <w:numPr>
                <w:ilvl w:val="0"/>
                <w:numId w:val="24"/>
              </w:numPr>
              <w:ind w:left="346" w:hanging="180"/>
              <w:rPr>
                <w:sz w:val="20"/>
                <w:szCs w:val="20"/>
                <w:lang w:val="en-US"/>
              </w:rPr>
            </w:pPr>
            <w:r w:rsidRPr="002D6D44">
              <w:rPr>
                <w:sz w:val="20"/>
                <w:szCs w:val="20"/>
              </w:rPr>
              <w:t>UE: (M,N,P,Mg,Ng)=(4,4,2,1,1), (dv,dH)=(0.5,0.5)λ.</w:t>
            </w:r>
          </w:p>
          <w:p w14:paraId="6D81F5A3" w14:textId="089A89FF" w:rsidR="00FC62E2" w:rsidRPr="00FB6421" w:rsidRDefault="00FC62E2">
            <w:pPr>
              <w:pStyle w:val="Default"/>
              <w:rPr>
                <w:sz w:val="20"/>
                <w:szCs w:val="20"/>
                <w:lang w:val="en-US"/>
              </w:rPr>
            </w:pPr>
            <w:r w:rsidRPr="00FB6421">
              <w:rPr>
                <w:sz w:val="20"/>
                <w:szCs w:val="20"/>
              </w:rPr>
              <w:t>Channel model</w:t>
            </w:r>
          </w:p>
          <w:p w14:paraId="75C770AA" w14:textId="19D54813" w:rsidR="008A2C71" w:rsidRPr="002D6D44" w:rsidRDefault="00FC62E2">
            <w:pPr>
              <w:pStyle w:val="Default"/>
              <w:spacing w:before="20" w:after="20"/>
              <w:rPr>
                <w:sz w:val="20"/>
                <w:szCs w:val="20"/>
              </w:rPr>
            </w:pPr>
            <w:r w:rsidRPr="002D6D44">
              <w:rPr>
                <w:sz w:val="20"/>
                <w:szCs w:val="20"/>
              </w:rPr>
              <w:t xml:space="preserve">  </w:t>
            </w:r>
            <w:r w:rsidR="008A2C71" w:rsidRPr="002D6D44">
              <w:rPr>
                <w:sz w:val="20"/>
                <w:szCs w:val="20"/>
              </w:rPr>
              <w:t>(1) CDL-D, DS = 27 ns</w:t>
            </w:r>
          </w:p>
          <w:p w14:paraId="7F3A1593" w14:textId="3537FE23" w:rsidR="008A2C71" w:rsidRPr="002D6D44" w:rsidRDefault="00FC62E2">
            <w:pPr>
              <w:pStyle w:val="Default"/>
              <w:spacing w:before="20" w:after="20"/>
              <w:rPr>
                <w:sz w:val="20"/>
                <w:szCs w:val="20"/>
              </w:rPr>
            </w:pPr>
            <w:r w:rsidRPr="002D6D44">
              <w:rPr>
                <w:sz w:val="20"/>
                <w:szCs w:val="20"/>
              </w:rPr>
              <w:t xml:space="preserve">  </w:t>
            </w:r>
            <w:r w:rsidR="008A2C71" w:rsidRPr="002D6D44">
              <w:rPr>
                <w:sz w:val="20"/>
                <w:szCs w:val="20"/>
              </w:rPr>
              <w:t>(2) CDL-B, DS = 55 ns</w:t>
            </w:r>
          </w:p>
          <w:p w14:paraId="725AB74A" w14:textId="1D975F02" w:rsidR="008A2C71" w:rsidRPr="00FB6421" w:rsidRDefault="008A2C71">
            <w:pPr>
              <w:pStyle w:val="Default"/>
              <w:spacing w:before="20" w:after="20"/>
              <w:rPr>
                <w:sz w:val="20"/>
                <w:szCs w:val="20"/>
                <w:lang w:val="en-US"/>
              </w:rPr>
            </w:pPr>
            <w:r w:rsidRPr="002D6D44">
              <w:rPr>
                <w:sz w:val="20"/>
                <w:szCs w:val="20"/>
              </w:rPr>
              <w:t>Further channel parameters and distributions listed in Annex A</w:t>
            </w:r>
            <w:r w:rsidR="00953883" w:rsidRPr="002D6D44">
              <w:rPr>
                <w:sz w:val="20"/>
                <w:szCs w:val="20"/>
              </w:rPr>
              <w:t>.</w:t>
            </w:r>
          </w:p>
        </w:tc>
      </w:tr>
      <w:tr w:rsidR="00795A88" w14:paraId="2CC2F022" w14:textId="77777777" w:rsidTr="00B53907">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5CD2FCA3" w14:textId="3F4B38A8" w:rsidR="00795A88" w:rsidRPr="00847702" w:rsidRDefault="00362702" w:rsidP="006A3FED">
            <w:pPr>
              <w:pStyle w:val="Default"/>
              <w:spacing w:before="20" w:after="20"/>
              <w:rPr>
                <w:sz w:val="20"/>
                <w:szCs w:val="20"/>
              </w:rPr>
            </w:pPr>
            <w:r w:rsidRPr="00847702">
              <w:rPr>
                <w:sz w:val="20"/>
                <w:szCs w:val="20"/>
              </w:rPr>
              <w:t>BS array orientation</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2532E68A" w14:textId="2CE41590" w:rsidR="00795A88" w:rsidRPr="002D6D44" w:rsidRDefault="00362702" w:rsidP="006A3FED">
            <w:pPr>
              <w:pStyle w:val="Default"/>
              <w:spacing w:before="20" w:after="20"/>
              <w:rPr>
                <w:sz w:val="20"/>
                <w:szCs w:val="20"/>
              </w:rPr>
            </w:pPr>
            <w:r w:rsidRPr="002D6D44">
              <w:rPr>
                <w:sz w:val="20"/>
                <w:szCs w:val="20"/>
              </w:rPr>
              <w:t>90 degrees in azimuth, and 90 degrees in zenith</w:t>
            </w:r>
          </w:p>
        </w:tc>
      </w:tr>
      <w:tr w:rsidR="008A2C71" w14:paraId="63C5F0A8"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4E0E5017" w14:textId="77777777" w:rsidR="008A2C71" w:rsidRPr="00FB6421" w:rsidRDefault="008A2C71">
            <w:pPr>
              <w:pStyle w:val="Default"/>
              <w:spacing w:before="20" w:after="20"/>
              <w:rPr>
                <w:sz w:val="20"/>
                <w:szCs w:val="20"/>
              </w:rPr>
            </w:pPr>
            <w:r w:rsidRPr="00FB6421">
              <w:rPr>
                <w:sz w:val="20"/>
                <w:szCs w:val="20"/>
              </w:rPr>
              <w:t>UE array orientation</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16235022" w14:textId="53248E11" w:rsidR="008A2C71" w:rsidRPr="00FB6421" w:rsidRDefault="00A2F348">
            <w:pPr>
              <w:pStyle w:val="Default"/>
              <w:spacing w:before="20" w:after="20"/>
              <w:rPr>
                <w:sz w:val="20"/>
                <w:szCs w:val="20"/>
              </w:rPr>
            </w:pPr>
            <w:r w:rsidRPr="00FB6421">
              <w:rPr>
                <w:sz w:val="20"/>
                <w:szCs w:val="20"/>
              </w:rPr>
              <w:t>U[0,360]</w:t>
            </w:r>
            <w:r w:rsidR="0FD1FD6B" w:rsidRPr="00FB6421">
              <w:rPr>
                <w:sz w:val="20"/>
                <w:szCs w:val="20"/>
              </w:rPr>
              <w:t xml:space="preserve"> degrees</w:t>
            </w:r>
            <w:r w:rsidRPr="00FB6421">
              <w:rPr>
                <w:sz w:val="20"/>
                <w:szCs w:val="20"/>
              </w:rPr>
              <w:t xml:space="preserve"> </w:t>
            </w:r>
            <w:r w:rsidR="188C8F7D" w:rsidRPr="00FB6421">
              <w:rPr>
                <w:sz w:val="20"/>
                <w:szCs w:val="20"/>
              </w:rPr>
              <w:t>in azimuth, and 90 degrees in zenith</w:t>
            </w:r>
          </w:p>
        </w:tc>
      </w:tr>
      <w:tr w:rsidR="008A2C71" w14:paraId="11633F1D"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hideMark/>
          </w:tcPr>
          <w:p w14:paraId="3BAE41BC" w14:textId="77777777" w:rsidR="008A2C71" w:rsidRPr="00FB6421" w:rsidRDefault="008A2C71">
            <w:pPr>
              <w:pStyle w:val="Default"/>
              <w:spacing w:before="20" w:after="20"/>
              <w:rPr>
                <w:sz w:val="20"/>
                <w:szCs w:val="20"/>
                <w:lang w:val="en-US"/>
              </w:rPr>
            </w:pPr>
            <w:r w:rsidRPr="00FB6421">
              <w:rPr>
                <w:sz w:val="20"/>
                <w:szCs w:val="20"/>
              </w:rPr>
              <w:t>BS antenna element radiation pattern</w:t>
            </w:r>
          </w:p>
        </w:tc>
        <w:tc>
          <w:tcPr>
            <w:tcW w:w="6807" w:type="dxa"/>
            <w:gridSpan w:val="6"/>
            <w:tcBorders>
              <w:top w:val="single" w:sz="4" w:space="0" w:color="auto"/>
              <w:left w:val="single" w:sz="4" w:space="0" w:color="auto"/>
              <w:bottom w:val="single" w:sz="4" w:space="0" w:color="auto"/>
              <w:right w:val="single" w:sz="4" w:space="0" w:color="auto"/>
            </w:tcBorders>
            <w:vAlign w:val="center"/>
            <w:hideMark/>
          </w:tcPr>
          <w:p w14:paraId="271CA7EF" w14:textId="78FC7EAC" w:rsidR="008A2C71" w:rsidRPr="00FB6421" w:rsidRDefault="008A2C71">
            <w:pPr>
              <w:pStyle w:val="Default"/>
              <w:spacing w:before="20" w:after="20"/>
              <w:rPr>
                <w:sz w:val="20"/>
                <w:szCs w:val="20"/>
                <w:lang w:val="en-US"/>
              </w:rPr>
            </w:pPr>
            <w:r w:rsidRPr="00FB6421">
              <w:rPr>
                <w:sz w:val="20"/>
                <w:szCs w:val="20"/>
              </w:rPr>
              <w:t xml:space="preserve">See Table </w:t>
            </w:r>
            <w:r w:rsidR="35DAE555" w:rsidRPr="00FB6421">
              <w:rPr>
                <w:sz w:val="20"/>
                <w:szCs w:val="20"/>
              </w:rPr>
              <w:t>7.1-</w:t>
            </w:r>
            <w:r w:rsidRPr="00FB6421" w:rsidDel="008A2C71">
              <w:rPr>
                <w:sz w:val="20"/>
                <w:szCs w:val="20"/>
              </w:rPr>
              <w:t>1</w:t>
            </w:r>
            <w:r w:rsidRPr="00FB6421">
              <w:rPr>
                <w:sz w:val="20"/>
                <w:szCs w:val="20"/>
              </w:rPr>
              <w:t xml:space="preserve"> in TR </w:t>
            </w:r>
            <w:r w:rsidR="3111ED61" w:rsidRPr="00FB6421">
              <w:rPr>
                <w:sz w:val="20"/>
                <w:szCs w:val="20"/>
              </w:rPr>
              <w:t>3</w:t>
            </w:r>
            <w:r w:rsidR="68E8A95B" w:rsidRPr="00FB6421">
              <w:rPr>
                <w:sz w:val="20"/>
                <w:szCs w:val="20"/>
              </w:rPr>
              <w:t>6</w:t>
            </w:r>
            <w:r w:rsidR="3111ED61" w:rsidRPr="00FB6421">
              <w:rPr>
                <w:sz w:val="20"/>
                <w:szCs w:val="20"/>
              </w:rPr>
              <w:t>.</w:t>
            </w:r>
            <w:r w:rsidR="3DB3AB92" w:rsidRPr="00FB6421">
              <w:rPr>
                <w:sz w:val="20"/>
                <w:szCs w:val="20"/>
              </w:rPr>
              <w:t>873</w:t>
            </w:r>
          </w:p>
        </w:tc>
      </w:tr>
      <w:tr w:rsidR="008A2C71" w14:paraId="7A6E6AE2"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2778F35C" w14:textId="77777777" w:rsidR="008A2C71" w:rsidRPr="00FB6421" w:rsidRDefault="008A2C71">
            <w:pPr>
              <w:pStyle w:val="Default"/>
              <w:spacing w:before="20" w:after="20"/>
              <w:rPr>
                <w:sz w:val="20"/>
                <w:szCs w:val="20"/>
                <w:lang w:val="en-US"/>
              </w:rPr>
            </w:pPr>
            <w:r w:rsidRPr="00FB6421">
              <w:rPr>
                <w:sz w:val="20"/>
                <w:szCs w:val="20"/>
              </w:rPr>
              <w:t>UE antenna element radiation pattern</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661CD042" w14:textId="6E79D904" w:rsidR="008A2C71" w:rsidRPr="00FB6421" w:rsidRDefault="1B246A06">
            <w:pPr>
              <w:pStyle w:val="Default"/>
              <w:spacing w:before="20" w:after="20"/>
              <w:rPr>
                <w:sz w:val="20"/>
                <w:szCs w:val="20"/>
                <w:lang w:val="en-US"/>
              </w:rPr>
            </w:pPr>
            <w:r w:rsidRPr="00FB6421">
              <w:rPr>
                <w:rFonts w:eastAsiaTheme="minorHAnsi"/>
                <w:sz w:val="20"/>
                <w:szCs w:val="20"/>
              </w:rPr>
              <w:t>See Table 7.1-1 in TR 36.873</w:t>
            </w:r>
          </w:p>
        </w:tc>
      </w:tr>
      <w:tr w:rsidR="008A2C71" w14:paraId="5612572C"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79076A6B" w14:textId="77777777" w:rsidR="008A2C71" w:rsidRPr="00847702" w:rsidRDefault="008A2C71">
            <w:pPr>
              <w:pStyle w:val="Default"/>
              <w:spacing w:before="20" w:after="20"/>
              <w:rPr>
                <w:sz w:val="20"/>
                <w:szCs w:val="20"/>
              </w:rPr>
            </w:pPr>
            <w:r w:rsidRPr="00847702">
              <w:rPr>
                <w:sz w:val="20"/>
                <w:szCs w:val="20"/>
              </w:rPr>
              <w:t>UE speed</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2C8A70B3" w14:textId="77777777" w:rsidR="008A2C71" w:rsidRPr="002D6D44" w:rsidRDefault="008A2C71">
            <w:pPr>
              <w:pStyle w:val="Default"/>
              <w:spacing w:before="20" w:after="20"/>
              <w:rPr>
                <w:sz w:val="20"/>
                <w:szCs w:val="20"/>
              </w:rPr>
            </w:pPr>
            <w:r w:rsidRPr="002D6D44">
              <w:rPr>
                <w:sz w:val="20"/>
                <w:szCs w:val="20"/>
              </w:rPr>
              <w:t>3 km/hr</w:t>
            </w:r>
          </w:p>
        </w:tc>
      </w:tr>
      <w:tr w:rsidR="008A2C71" w14:paraId="5568AC86" w14:textId="77777777" w:rsidTr="00FB6421">
        <w:trPr>
          <w:trHeight w:val="179"/>
        </w:trPr>
        <w:tc>
          <w:tcPr>
            <w:tcW w:w="2880" w:type="dxa"/>
            <w:tcBorders>
              <w:top w:val="single" w:sz="4" w:space="0" w:color="auto"/>
              <w:left w:val="single" w:sz="4" w:space="0" w:color="auto"/>
              <w:bottom w:val="single" w:sz="4" w:space="0" w:color="auto"/>
              <w:right w:val="single" w:sz="4" w:space="0" w:color="auto"/>
            </w:tcBorders>
            <w:vAlign w:val="center"/>
            <w:hideMark/>
          </w:tcPr>
          <w:p w14:paraId="18A70C27" w14:textId="77777777" w:rsidR="008A2C71" w:rsidRPr="00847702" w:rsidRDefault="008A2C71">
            <w:pPr>
              <w:pStyle w:val="Default"/>
              <w:spacing w:before="20" w:after="20"/>
              <w:rPr>
                <w:sz w:val="20"/>
                <w:szCs w:val="20"/>
              </w:rPr>
            </w:pPr>
            <w:r w:rsidRPr="00847702">
              <w:rPr>
                <w:sz w:val="20"/>
                <w:szCs w:val="20"/>
              </w:rPr>
              <w:t>Beam selection</w:t>
            </w:r>
          </w:p>
        </w:tc>
        <w:tc>
          <w:tcPr>
            <w:tcW w:w="6807" w:type="dxa"/>
            <w:gridSpan w:val="6"/>
            <w:tcBorders>
              <w:top w:val="single" w:sz="4" w:space="0" w:color="auto"/>
              <w:left w:val="single" w:sz="4" w:space="0" w:color="auto"/>
              <w:bottom w:val="single" w:sz="4" w:space="0" w:color="auto"/>
              <w:right w:val="single" w:sz="4" w:space="0" w:color="auto"/>
            </w:tcBorders>
            <w:vAlign w:val="center"/>
            <w:hideMark/>
          </w:tcPr>
          <w:p w14:paraId="5B89ED7D" w14:textId="09CA6187" w:rsidR="008A2C71" w:rsidRPr="00FB6421" w:rsidRDefault="008A2C71">
            <w:pPr>
              <w:pStyle w:val="Default"/>
              <w:spacing w:before="20" w:after="20"/>
              <w:rPr>
                <w:sz w:val="20"/>
                <w:szCs w:val="20"/>
                <w:lang w:val="en-US"/>
              </w:rPr>
            </w:pPr>
            <w:r w:rsidRPr="002D6D44">
              <w:rPr>
                <w:sz w:val="20"/>
                <w:szCs w:val="20"/>
              </w:rPr>
              <w:t>Select the DFT beam pair maximizing received signal power</w:t>
            </w:r>
          </w:p>
        </w:tc>
      </w:tr>
      <w:tr w:rsidR="008A2C71" w14:paraId="1C3F6E30"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2BAF81E6" w14:textId="77777777" w:rsidR="008A2C71" w:rsidRPr="00847702" w:rsidRDefault="008A2C71">
            <w:pPr>
              <w:pStyle w:val="Default"/>
              <w:spacing w:before="20" w:after="20"/>
              <w:rPr>
                <w:sz w:val="20"/>
                <w:szCs w:val="20"/>
              </w:rPr>
            </w:pPr>
            <w:r w:rsidRPr="00847702">
              <w:rPr>
                <w:sz w:val="20"/>
                <w:szCs w:val="20"/>
              </w:rPr>
              <w:t>RF impairment</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071719A4" w14:textId="77777777" w:rsidR="008A2C71" w:rsidRPr="00FB6421" w:rsidRDefault="008A2C71">
            <w:pPr>
              <w:pStyle w:val="Default"/>
              <w:rPr>
                <w:sz w:val="20"/>
                <w:szCs w:val="20"/>
                <w:lang w:val="en-US"/>
              </w:rPr>
            </w:pPr>
            <w:r w:rsidRPr="00FB6421">
              <w:rPr>
                <w:sz w:val="20"/>
                <w:szCs w:val="20"/>
              </w:rPr>
              <w:t>Phase Noise: Example 2 as specified in TR38.803</w:t>
            </w:r>
          </w:p>
        </w:tc>
      </w:tr>
      <w:tr w:rsidR="00331FB6" w14:paraId="13C2368F"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7925BF63" w14:textId="0D6217E3" w:rsidR="00331FB6" w:rsidRPr="00847702" w:rsidRDefault="00C66377">
            <w:pPr>
              <w:pStyle w:val="Default"/>
              <w:spacing w:before="20" w:after="20"/>
              <w:rPr>
                <w:sz w:val="20"/>
                <w:szCs w:val="20"/>
              </w:rPr>
            </w:pPr>
            <w:r>
              <w:rPr>
                <w:sz w:val="20"/>
                <w:szCs w:val="20"/>
              </w:rPr>
              <w:t>PTRS</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382C3A38" w14:textId="4884AA5F" w:rsidR="00331FB6" w:rsidRPr="00FB6421" w:rsidRDefault="00AB153C">
            <w:pPr>
              <w:pStyle w:val="Default"/>
              <w:rPr>
                <w:sz w:val="20"/>
                <w:szCs w:val="20"/>
              </w:rPr>
            </w:pPr>
            <w:r>
              <w:rPr>
                <w:sz w:val="20"/>
                <w:szCs w:val="20"/>
              </w:rPr>
              <w:t>Rel-15 PTRS</w:t>
            </w:r>
            <w:r w:rsidR="003F5444">
              <w:rPr>
                <w:sz w:val="20"/>
                <w:szCs w:val="20"/>
              </w:rPr>
              <w:t xml:space="preserve"> (density: every two PRB)</w:t>
            </w:r>
          </w:p>
        </w:tc>
      </w:tr>
      <w:tr w:rsidR="00C66377" w14:paraId="3B6E4BEF"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6F37810F" w14:textId="4B58C415" w:rsidR="00C66377" w:rsidRPr="00847702" w:rsidRDefault="00062625">
            <w:pPr>
              <w:pStyle w:val="Default"/>
              <w:spacing w:before="20" w:after="20"/>
              <w:rPr>
                <w:sz w:val="20"/>
                <w:szCs w:val="20"/>
              </w:rPr>
            </w:pPr>
            <w:r>
              <w:rPr>
                <w:sz w:val="20"/>
                <w:szCs w:val="20"/>
              </w:rPr>
              <w:t>PN compensation</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3F5F05CC" w14:textId="1560D2AF" w:rsidR="00C66377" w:rsidRPr="00FB6421" w:rsidRDefault="00062625">
            <w:pPr>
              <w:pStyle w:val="Default"/>
              <w:rPr>
                <w:sz w:val="20"/>
                <w:szCs w:val="20"/>
              </w:rPr>
            </w:pPr>
            <w:r>
              <w:rPr>
                <w:sz w:val="20"/>
                <w:szCs w:val="20"/>
              </w:rPr>
              <w:t>CPE</w:t>
            </w:r>
          </w:p>
        </w:tc>
      </w:tr>
      <w:tr w:rsidR="008A2C71" w14:paraId="0902C8F2"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4872F776" w14:textId="77777777" w:rsidR="008A2C71" w:rsidRPr="00847702" w:rsidRDefault="008A2C71">
            <w:pPr>
              <w:pStyle w:val="Default"/>
              <w:spacing w:before="20" w:after="20"/>
              <w:rPr>
                <w:sz w:val="20"/>
                <w:szCs w:val="20"/>
              </w:rPr>
            </w:pPr>
            <w:r w:rsidRPr="00847702">
              <w:rPr>
                <w:sz w:val="20"/>
                <w:szCs w:val="20"/>
              </w:rPr>
              <w:t>Rank</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7D8C4367" w14:textId="77777777" w:rsidR="008A2C71" w:rsidRPr="002D6D44" w:rsidRDefault="008A2C71">
            <w:pPr>
              <w:pStyle w:val="Default"/>
              <w:spacing w:before="20" w:after="20"/>
              <w:rPr>
                <w:sz w:val="20"/>
                <w:szCs w:val="20"/>
              </w:rPr>
            </w:pPr>
            <w:r w:rsidRPr="002D6D44">
              <w:rPr>
                <w:sz w:val="20"/>
                <w:szCs w:val="20"/>
              </w:rPr>
              <w:t>1</w:t>
            </w:r>
          </w:p>
        </w:tc>
      </w:tr>
      <w:tr w:rsidR="008A2C71" w14:paraId="1A3EDEC6"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4AE3AF93" w14:textId="77777777" w:rsidR="008A2C71" w:rsidRPr="00847702" w:rsidRDefault="008A2C71">
            <w:pPr>
              <w:pStyle w:val="Default"/>
              <w:spacing w:before="20" w:after="20"/>
              <w:rPr>
                <w:sz w:val="20"/>
                <w:szCs w:val="20"/>
              </w:rPr>
            </w:pPr>
            <w:r w:rsidRPr="00847702">
              <w:rPr>
                <w:sz w:val="20"/>
                <w:szCs w:val="20"/>
              </w:rPr>
              <w:t>Channel estimation</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1BD37511" w14:textId="77777777" w:rsidR="008A2C71" w:rsidRPr="002D6D44" w:rsidRDefault="008A2C71">
            <w:pPr>
              <w:pStyle w:val="Default"/>
              <w:spacing w:before="20" w:after="20"/>
              <w:rPr>
                <w:sz w:val="20"/>
                <w:szCs w:val="20"/>
              </w:rPr>
            </w:pPr>
            <w:r w:rsidRPr="002D6D44">
              <w:rPr>
                <w:sz w:val="20"/>
                <w:szCs w:val="20"/>
              </w:rPr>
              <w:t>Realistic</w:t>
            </w:r>
          </w:p>
        </w:tc>
      </w:tr>
      <w:tr w:rsidR="008A2C71" w14:paraId="364F4DC3"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78F52459" w14:textId="77777777" w:rsidR="008A2C71" w:rsidRPr="00847702" w:rsidRDefault="008A2C71">
            <w:pPr>
              <w:pStyle w:val="Default"/>
              <w:spacing w:before="20" w:after="20"/>
              <w:rPr>
                <w:sz w:val="20"/>
                <w:szCs w:val="20"/>
              </w:rPr>
            </w:pPr>
            <w:r w:rsidRPr="00847702">
              <w:rPr>
                <w:sz w:val="20"/>
                <w:szCs w:val="20"/>
              </w:rPr>
              <w:t>Modulation</w:t>
            </w:r>
          </w:p>
        </w:tc>
        <w:tc>
          <w:tcPr>
            <w:tcW w:w="2362" w:type="dxa"/>
            <w:gridSpan w:val="2"/>
            <w:tcBorders>
              <w:top w:val="single" w:sz="4" w:space="0" w:color="auto"/>
              <w:left w:val="single" w:sz="4" w:space="0" w:color="auto"/>
              <w:bottom w:val="single" w:sz="4" w:space="0" w:color="auto"/>
              <w:right w:val="single" w:sz="4" w:space="0" w:color="auto"/>
            </w:tcBorders>
            <w:vAlign w:val="center"/>
          </w:tcPr>
          <w:p w14:paraId="6F80630A" w14:textId="77777777" w:rsidR="008A2C71" w:rsidRPr="002D6D44" w:rsidRDefault="008A2C71">
            <w:pPr>
              <w:pStyle w:val="Default"/>
              <w:spacing w:before="20" w:after="20"/>
              <w:rPr>
                <w:sz w:val="20"/>
                <w:szCs w:val="20"/>
              </w:rPr>
            </w:pPr>
            <w:r w:rsidRPr="002D6D44">
              <w:rPr>
                <w:sz w:val="20"/>
                <w:szCs w:val="20"/>
              </w:rPr>
              <w:t>QPSK</w:t>
            </w:r>
          </w:p>
        </w:tc>
        <w:tc>
          <w:tcPr>
            <w:tcW w:w="2222" w:type="dxa"/>
            <w:gridSpan w:val="2"/>
            <w:tcBorders>
              <w:top w:val="single" w:sz="4" w:space="0" w:color="auto"/>
              <w:left w:val="single" w:sz="4" w:space="0" w:color="auto"/>
              <w:bottom w:val="single" w:sz="4" w:space="0" w:color="auto"/>
              <w:right w:val="single" w:sz="4" w:space="0" w:color="auto"/>
            </w:tcBorders>
            <w:vAlign w:val="center"/>
          </w:tcPr>
          <w:p w14:paraId="2B646873" w14:textId="77777777" w:rsidR="008A2C71" w:rsidRPr="002D6D44" w:rsidRDefault="008A2C71">
            <w:pPr>
              <w:pStyle w:val="Default"/>
              <w:spacing w:before="20" w:after="20"/>
              <w:rPr>
                <w:sz w:val="20"/>
                <w:szCs w:val="20"/>
              </w:rPr>
            </w:pPr>
            <w:r w:rsidRPr="002D6D44">
              <w:rPr>
                <w:sz w:val="20"/>
                <w:szCs w:val="20"/>
              </w:rPr>
              <w:t>16QAM</w:t>
            </w:r>
          </w:p>
        </w:tc>
        <w:tc>
          <w:tcPr>
            <w:tcW w:w="2223" w:type="dxa"/>
            <w:gridSpan w:val="2"/>
            <w:tcBorders>
              <w:top w:val="single" w:sz="4" w:space="0" w:color="auto"/>
              <w:left w:val="single" w:sz="4" w:space="0" w:color="auto"/>
              <w:bottom w:val="single" w:sz="4" w:space="0" w:color="auto"/>
              <w:right w:val="single" w:sz="4" w:space="0" w:color="auto"/>
            </w:tcBorders>
            <w:vAlign w:val="center"/>
          </w:tcPr>
          <w:p w14:paraId="4607DA52" w14:textId="77777777" w:rsidR="008A2C71" w:rsidRPr="002D6D44" w:rsidRDefault="008A2C71">
            <w:pPr>
              <w:pStyle w:val="Default"/>
              <w:spacing w:before="20" w:after="20"/>
              <w:rPr>
                <w:sz w:val="20"/>
                <w:szCs w:val="20"/>
              </w:rPr>
            </w:pPr>
            <w:r w:rsidRPr="002D6D44">
              <w:rPr>
                <w:sz w:val="20"/>
                <w:szCs w:val="20"/>
              </w:rPr>
              <w:t>64QAM</w:t>
            </w:r>
          </w:p>
        </w:tc>
      </w:tr>
      <w:tr w:rsidR="008A2C71" w14:paraId="2605CA75" w14:textId="77777777" w:rsidTr="00FB6421">
        <w:trPr>
          <w:trHeight w:val="357"/>
        </w:trPr>
        <w:tc>
          <w:tcPr>
            <w:tcW w:w="2880" w:type="dxa"/>
            <w:tcBorders>
              <w:top w:val="single" w:sz="4" w:space="0" w:color="auto"/>
              <w:left w:val="single" w:sz="4" w:space="0" w:color="auto"/>
              <w:bottom w:val="single" w:sz="4" w:space="0" w:color="auto"/>
              <w:right w:val="single" w:sz="4" w:space="0" w:color="auto"/>
            </w:tcBorders>
            <w:vAlign w:val="center"/>
          </w:tcPr>
          <w:p w14:paraId="1B6700BE" w14:textId="77777777" w:rsidR="008A2C71" w:rsidRPr="00847702" w:rsidRDefault="008A2C71">
            <w:pPr>
              <w:pStyle w:val="Default"/>
              <w:spacing w:before="20" w:after="20"/>
              <w:rPr>
                <w:sz w:val="20"/>
                <w:szCs w:val="20"/>
              </w:rPr>
            </w:pPr>
            <w:r w:rsidRPr="00847702">
              <w:rPr>
                <w:sz w:val="20"/>
                <w:szCs w:val="20"/>
              </w:rPr>
              <w:lastRenderedPageBreak/>
              <w:t>Code rate</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599436C3" w14:textId="77777777" w:rsidR="008A2C71" w:rsidRPr="002D6D44" w:rsidRDefault="008A2C71">
            <w:pPr>
              <w:pStyle w:val="Default"/>
              <w:spacing w:before="20" w:after="20"/>
              <w:rPr>
                <w:sz w:val="20"/>
                <w:szCs w:val="20"/>
              </w:rPr>
            </w:pPr>
            <w:r w:rsidRPr="002D6D44">
              <w:rPr>
                <w:sz w:val="20"/>
                <w:szCs w:val="20"/>
              </w:rPr>
              <w:t>2/3</w:t>
            </w:r>
          </w:p>
        </w:tc>
      </w:tr>
      <w:tr w:rsidR="008A2C71" w14:paraId="19F0F5B1" w14:textId="77777777" w:rsidTr="00FB6421">
        <w:trPr>
          <w:trHeight w:val="52"/>
        </w:trPr>
        <w:tc>
          <w:tcPr>
            <w:tcW w:w="2880" w:type="dxa"/>
            <w:tcBorders>
              <w:top w:val="single" w:sz="4" w:space="0" w:color="auto"/>
              <w:left w:val="single" w:sz="4" w:space="0" w:color="auto"/>
              <w:bottom w:val="single" w:sz="4" w:space="0" w:color="auto"/>
              <w:right w:val="single" w:sz="4" w:space="0" w:color="auto"/>
            </w:tcBorders>
            <w:vAlign w:val="center"/>
          </w:tcPr>
          <w:p w14:paraId="4734A865" w14:textId="77777777" w:rsidR="008A2C71" w:rsidRPr="00847702" w:rsidRDefault="008A2C71">
            <w:pPr>
              <w:pStyle w:val="Default"/>
              <w:spacing w:before="20" w:after="20"/>
              <w:rPr>
                <w:sz w:val="20"/>
                <w:szCs w:val="20"/>
              </w:rPr>
            </w:pPr>
            <w:r w:rsidRPr="00847702">
              <w:rPr>
                <w:sz w:val="20"/>
                <w:szCs w:val="20"/>
              </w:rPr>
              <w:t>Metric</w:t>
            </w:r>
          </w:p>
        </w:tc>
        <w:tc>
          <w:tcPr>
            <w:tcW w:w="6807" w:type="dxa"/>
            <w:gridSpan w:val="6"/>
            <w:tcBorders>
              <w:top w:val="single" w:sz="4" w:space="0" w:color="auto"/>
              <w:left w:val="single" w:sz="4" w:space="0" w:color="auto"/>
              <w:bottom w:val="single" w:sz="4" w:space="0" w:color="auto"/>
              <w:right w:val="single" w:sz="4" w:space="0" w:color="auto"/>
            </w:tcBorders>
            <w:vAlign w:val="center"/>
          </w:tcPr>
          <w:p w14:paraId="3C4764C0" w14:textId="3C4DE514" w:rsidR="008A2C71" w:rsidRPr="00FB6421" w:rsidRDefault="008A2C71">
            <w:pPr>
              <w:pStyle w:val="Default"/>
              <w:spacing w:before="20" w:after="20"/>
              <w:rPr>
                <w:sz w:val="20"/>
                <w:szCs w:val="20"/>
                <w:lang w:val="en-US"/>
              </w:rPr>
            </w:pPr>
            <w:r w:rsidRPr="002D6D44">
              <w:rPr>
                <w:sz w:val="20"/>
                <w:szCs w:val="20"/>
              </w:rPr>
              <w:t>BLER vs SNR</w:t>
            </w:r>
          </w:p>
        </w:tc>
      </w:tr>
    </w:tbl>
    <w:p w14:paraId="4C0E35E8" w14:textId="77777777" w:rsidR="008A2C71" w:rsidRPr="00EA0A41" w:rsidRDefault="008A2C71" w:rsidP="008A2C71">
      <w:pPr>
        <w:pStyle w:val="BodyText"/>
      </w:pPr>
    </w:p>
    <w:p w14:paraId="1D4BC7A5" w14:textId="77777777" w:rsidR="00F65640" w:rsidRDefault="00F65640"/>
    <w:sectPr w:rsidR="00F65640" w:rsidSect="00AC1B0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BBF0A3" w14:textId="77777777" w:rsidR="00333EBE" w:rsidRDefault="00333EBE">
      <w:pPr>
        <w:spacing w:after="0"/>
      </w:pPr>
      <w:r>
        <w:separator/>
      </w:r>
    </w:p>
  </w:endnote>
  <w:endnote w:type="continuationSeparator" w:id="0">
    <w:p w14:paraId="24CD575D" w14:textId="77777777" w:rsidR="00333EBE" w:rsidRDefault="00333EBE">
      <w:pPr>
        <w:spacing w:after="0"/>
      </w:pPr>
      <w:r>
        <w:continuationSeparator/>
      </w:r>
    </w:p>
  </w:endnote>
  <w:endnote w:type="continuationNotice" w:id="1">
    <w:p w14:paraId="53D9CEED" w14:textId="77777777" w:rsidR="00333EBE" w:rsidRDefault="00333EB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1ECF00" w14:textId="77777777" w:rsidR="00333EBE" w:rsidRDefault="00333EBE">
      <w:pPr>
        <w:spacing w:after="0"/>
      </w:pPr>
      <w:r>
        <w:separator/>
      </w:r>
    </w:p>
  </w:footnote>
  <w:footnote w:type="continuationSeparator" w:id="0">
    <w:p w14:paraId="70D71A46" w14:textId="77777777" w:rsidR="00333EBE" w:rsidRDefault="00333EBE">
      <w:pPr>
        <w:spacing w:after="0"/>
      </w:pPr>
      <w:r>
        <w:continuationSeparator/>
      </w:r>
    </w:p>
  </w:footnote>
  <w:footnote w:type="continuationNotice" w:id="1">
    <w:p w14:paraId="3D08E352" w14:textId="77777777" w:rsidR="00333EBE" w:rsidRDefault="00333EB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4C2F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B2096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3C83082"/>
    <w:multiLevelType w:val="hybridMultilevel"/>
    <w:tmpl w:val="994ED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296377"/>
    <w:multiLevelType w:val="hybridMultilevel"/>
    <w:tmpl w:val="F4060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063F82"/>
    <w:multiLevelType w:val="hybridMultilevel"/>
    <w:tmpl w:val="30C8BB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16C94569"/>
    <w:multiLevelType w:val="hybridMultilevel"/>
    <w:tmpl w:val="0CA6A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7470992"/>
    <w:multiLevelType w:val="hybridMultilevel"/>
    <w:tmpl w:val="C208311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7EF87DFC"/>
    <w:lvl w:ilvl="0" w:tplc="78A864BC">
      <w:start w:val="1"/>
      <w:numFmt w:val="decimal"/>
      <w:pStyle w:val="Proposal"/>
      <w:lvlText w:val="Proposal %1"/>
      <w:lvlJc w:val="left"/>
      <w:pPr>
        <w:tabs>
          <w:tab w:val="num" w:pos="1304"/>
        </w:tabs>
        <w:ind w:left="1304" w:hanging="1304"/>
      </w:pPr>
      <w:rPr>
        <w:rFonts w:hint="default"/>
      </w:rPr>
    </w:lvl>
    <w:lvl w:ilvl="1" w:tplc="C268B510">
      <w:start w:val="1"/>
      <w:numFmt w:val="decimal"/>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6236934"/>
    <w:multiLevelType w:val="hybridMultilevel"/>
    <w:tmpl w:val="D30ADD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CAE7503"/>
    <w:multiLevelType w:val="hybridMultilevel"/>
    <w:tmpl w:val="A190C3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7B733D"/>
    <w:multiLevelType w:val="hybridMultilevel"/>
    <w:tmpl w:val="545A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97568AD"/>
    <w:multiLevelType w:val="hybridMultilevel"/>
    <w:tmpl w:val="24EAA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5" w15:restartNumberingAfterBreak="0">
    <w:nsid w:val="7C5173D6"/>
    <w:multiLevelType w:val="hybridMultilevel"/>
    <w:tmpl w:val="5942CC7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3"/>
  </w:num>
  <w:num w:numId="2">
    <w:abstractNumId w:val="23"/>
  </w:num>
  <w:num w:numId="3">
    <w:abstractNumId w:val="18"/>
  </w:num>
  <w:num w:numId="4">
    <w:abstractNumId w:val="19"/>
  </w:num>
  <w:num w:numId="5">
    <w:abstractNumId w:val="14"/>
  </w:num>
  <w:num w:numId="6">
    <w:abstractNumId w:val="21"/>
  </w:num>
  <w:num w:numId="7">
    <w:abstractNumId w:val="27"/>
  </w:num>
  <w:num w:numId="8">
    <w:abstractNumId w:val="15"/>
  </w:num>
  <w:num w:numId="9">
    <w:abstractNumId w:val="13"/>
  </w:num>
  <w:num w:numId="10">
    <w:abstractNumId w:val="2"/>
  </w:num>
  <w:num w:numId="11">
    <w:abstractNumId w:val="1"/>
  </w:num>
  <w:num w:numId="12">
    <w:abstractNumId w:val="0"/>
  </w:num>
  <w:num w:numId="13">
    <w:abstractNumId w:val="25"/>
  </w:num>
  <w:num w:numId="14">
    <w:abstractNumId w:val="26"/>
  </w:num>
  <w:num w:numId="15">
    <w:abstractNumId w:val="20"/>
  </w:num>
  <w:num w:numId="16">
    <w:abstractNumId w:val="30"/>
  </w:num>
  <w:num w:numId="17">
    <w:abstractNumId w:val="10"/>
  </w:num>
  <w:num w:numId="18">
    <w:abstractNumId w:val="12"/>
  </w:num>
  <w:num w:numId="19">
    <w:abstractNumId w:val="6"/>
  </w:num>
  <w:num w:numId="20">
    <w:abstractNumId w:val="34"/>
  </w:num>
  <w:num w:numId="21">
    <w:abstractNumId w:val="16"/>
  </w:num>
  <w:num w:numId="22">
    <w:abstractNumId w:val="33"/>
  </w:num>
  <w:num w:numId="23">
    <w:abstractNumId w:val="17"/>
  </w:num>
  <w:num w:numId="24">
    <w:abstractNumId w:val="28"/>
  </w:num>
  <w:num w:numId="25">
    <w:abstractNumId w:val="32"/>
  </w:num>
  <w:num w:numId="26">
    <w:abstractNumId w:val="29"/>
  </w:num>
  <w:num w:numId="27">
    <w:abstractNumId w:val="5"/>
  </w:num>
  <w:num w:numId="28">
    <w:abstractNumId w:val="24"/>
  </w:num>
  <w:num w:numId="29">
    <w:abstractNumId w:val="8"/>
  </w:num>
  <w:num w:numId="30">
    <w:abstractNumId w:val="35"/>
  </w:num>
  <w:num w:numId="31">
    <w:abstractNumId w:val="31"/>
  </w:num>
  <w:num w:numId="32">
    <w:abstractNumId w:val="4"/>
  </w:num>
  <w:num w:numId="33">
    <w:abstractNumId w:val="9"/>
  </w:num>
  <w:num w:numId="34">
    <w:abstractNumId w:val="11"/>
  </w:num>
  <w:num w:numId="35">
    <w:abstractNumId w:val="7"/>
  </w:num>
  <w:num w:numId="3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doNotDisplayPageBoundaries/>
  <w:proofState w:spelling="clean"/>
  <w:defaultTabStop w:val="720"/>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C71"/>
    <w:rsid w:val="000009D5"/>
    <w:rsid w:val="00001030"/>
    <w:rsid w:val="0000301E"/>
    <w:rsid w:val="0000358D"/>
    <w:rsid w:val="00016596"/>
    <w:rsid w:val="000168B6"/>
    <w:rsid w:val="00017019"/>
    <w:rsid w:val="000212D0"/>
    <w:rsid w:val="00021847"/>
    <w:rsid w:val="00023EEE"/>
    <w:rsid w:val="00026AC8"/>
    <w:rsid w:val="00027C85"/>
    <w:rsid w:val="00030133"/>
    <w:rsid w:val="00033D49"/>
    <w:rsid w:val="000353F4"/>
    <w:rsid w:val="00035E3E"/>
    <w:rsid w:val="00042285"/>
    <w:rsid w:val="000437A2"/>
    <w:rsid w:val="000513CD"/>
    <w:rsid w:val="00052327"/>
    <w:rsid w:val="00053502"/>
    <w:rsid w:val="00054241"/>
    <w:rsid w:val="00056033"/>
    <w:rsid w:val="000614A9"/>
    <w:rsid w:val="00062625"/>
    <w:rsid w:val="00065779"/>
    <w:rsid w:val="000708E3"/>
    <w:rsid w:val="00071FE9"/>
    <w:rsid w:val="000728BA"/>
    <w:rsid w:val="000739DB"/>
    <w:rsid w:val="00086DC6"/>
    <w:rsid w:val="0008791B"/>
    <w:rsid w:val="000A1CC3"/>
    <w:rsid w:val="000A3B19"/>
    <w:rsid w:val="000A5249"/>
    <w:rsid w:val="000A73CF"/>
    <w:rsid w:val="000B16D2"/>
    <w:rsid w:val="000B1AA7"/>
    <w:rsid w:val="000B1C4C"/>
    <w:rsid w:val="000B3066"/>
    <w:rsid w:val="000B699B"/>
    <w:rsid w:val="000B7E33"/>
    <w:rsid w:val="000C036B"/>
    <w:rsid w:val="000C72D4"/>
    <w:rsid w:val="000D2CA5"/>
    <w:rsid w:val="000D31CA"/>
    <w:rsid w:val="000D49B3"/>
    <w:rsid w:val="000D4A54"/>
    <w:rsid w:val="000D5ED8"/>
    <w:rsid w:val="000D6FD4"/>
    <w:rsid w:val="000D7028"/>
    <w:rsid w:val="000E0D12"/>
    <w:rsid w:val="000E3148"/>
    <w:rsid w:val="000E3727"/>
    <w:rsid w:val="000E7F1B"/>
    <w:rsid w:val="000F3E79"/>
    <w:rsid w:val="000F550A"/>
    <w:rsid w:val="000F6A28"/>
    <w:rsid w:val="000F78F2"/>
    <w:rsid w:val="001047C6"/>
    <w:rsid w:val="0010558C"/>
    <w:rsid w:val="00105F05"/>
    <w:rsid w:val="0011218B"/>
    <w:rsid w:val="00112B75"/>
    <w:rsid w:val="0011525F"/>
    <w:rsid w:val="00120769"/>
    <w:rsid w:val="00125871"/>
    <w:rsid w:val="001304A5"/>
    <w:rsid w:val="00131D33"/>
    <w:rsid w:val="0013506F"/>
    <w:rsid w:val="00140990"/>
    <w:rsid w:val="001424BD"/>
    <w:rsid w:val="00142E83"/>
    <w:rsid w:val="00145949"/>
    <w:rsid w:val="001477B0"/>
    <w:rsid w:val="0015090C"/>
    <w:rsid w:val="00150A8A"/>
    <w:rsid w:val="00154FCD"/>
    <w:rsid w:val="00155279"/>
    <w:rsid w:val="001562DD"/>
    <w:rsid w:val="001569A4"/>
    <w:rsid w:val="00156ED3"/>
    <w:rsid w:val="00161C28"/>
    <w:rsid w:val="00161CB3"/>
    <w:rsid w:val="001627D2"/>
    <w:rsid w:val="001660ED"/>
    <w:rsid w:val="00167F8B"/>
    <w:rsid w:val="00174751"/>
    <w:rsid w:val="0017763F"/>
    <w:rsid w:val="00184EE1"/>
    <w:rsid w:val="00185F25"/>
    <w:rsid w:val="001864D8"/>
    <w:rsid w:val="00190885"/>
    <w:rsid w:val="00193197"/>
    <w:rsid w:val="0019717C"/>
    <w:rsid w:val="001972D4"/>
    <w:rsid w:val="001974CD"/>
    <w:rsid w:val="001A0240"/>
    <w:rsid w:val="001A3557"/>
    <w:rsid w:val="001A50CC"/>
    <w:rsid w:val="001A5DFE"/>
    <w:rsid w:val="001A77FB"/>
    <w:rsid w:val="001B0789"/>
    <w:rsid w:val="001B1696"/>
    <w:rsid w:val="001B1D79"/>
    <w:rsid w:val="001C026F"/>
    <w:rsid w:val="001C04D0"/>
    <w:rsid w:val="001C0EA3"/>
    <w:rsid w:val="001C2D41"/>
    <w:rsid w:val="001C4ECB"/>
    <w:rsid w:val="001C7EA8"/>
    <w:rsid w:val="001D2388"/>
    <w:rsid w:val="001D2951"/>
    <w:rsid w:val="001D55AE"/>
    <w:rsid w:val="001D59F2"/>
    <w:rsid w:val="001D70B4"/>
    <w:rsid w:val="001D7CC0"/>
    <w:rsid w:val="001D7ED8"/>
    <w:rsid w:val="001E1DE5"/>
    <w:rsid w:val="001E3576"/>
    <w:rsid w:val="001E53F9"/>
    <w:rsid w:val="001E5E05"/>
    <w:rsid w:val="001E6080"/>
    <w:rsid w:val="001E65CA"/>
    <w:rsid w:val="001E6824"/>
    <w:rsid w:val="001F0FA6"/>
    <w:rsid w:val="002041A8"/>
    <w:rsid w:val="002065FA"/>
    <w:rsid w:val="00210376"/>
    <w:rsid w:val="0021069B"/>
    <w:rsid w:val="00211D2A"/>
    <w:rsid w:val="0021286A"/>
    <w:rsid w:val="00215204"/>
    <w:rsid w:val="00221E67"/>
    <w:rsid w:val="00222D2E"/>
    <w:rsid w:val="0022327A"/>
    <w:rsid w:val="00223EEE"/>
    <w:rsid w:val="0022509F"/>
    <w:rsid w:val="002347CD"/>
    <w:rsid w:val="002372AD"/>
    <w:rsid w:val="00237F96"/>
    <w:rsid w:val="00245414"/>
    <w:rsid w:val="002508C3"/>
    <w:rsid w:val="00255E65"/>
    <w:rsid w:val="00256937"/>
    <w:rsid w:val="00257C51"/>
    <w:rsid w:val="0026069A"/>
    <w:rsid w:val="00260706"/>
    <w:rsid w:val="00261452"/>
    <w:rsid w:val="0026468A"/>
    <w:rsid w:val="00267E54"/>
    <w:rsid w:val="00270D45"/>
    <w:rsid w:val="00271384"/>
    <w:rsid w:val="00272797"/>
    <w:rsid w:val="0027405C"/>
    <w:rsid w:val="0027409C"/>
    <w:rsid w:val="002767D2"/>
    <w:rsid w:val="002821D2"/>
    <w:rsid w:val="0028353B"/>
    <w:rsid w:val="002907F7"/>
    <w:rsid w:val="0029146B"/>
    <w:rsid w:val="00291755"/>
    <w:rsid w:val="002923EA"/>
    <w:rsid w:val="002943C9"/>
    <w:rsid w:val="00295E14"/>
    <w:rsid w:val="00296EC7"/>
    <w:rsid w:val="00297B2B"/>
    <w:rsid w:val="002A0635"/>
    <w:rsid w:val="002A2FB6"/>
    <w:rsid w:val="002A7FCA"/>
    <w:rsid w:val="002B015B"/>
    <w:rsid w:val="002B4D20"/>
    <w:rsid w:val="002C2FCB"/>
    <w:rsid w:val="002D098A"/>
    <w:rsid w:val="002D2B0F"/>
    <w:rsid w:val="002D6D44"/>
    <w:rsid w:val="002E3195"/>
    <w:rsid w:val="002E600B"/>
    <w:rsid w:val="002E63AF"/>
    <w:rsid w:val="002F2FE6"/>
    <w:rsid w:val="002F5469"/>
    <w:rsid w:val="002F55A9"/>
    <w:rsid w:val="00303945"/>
    <w:rsid w:val="003058A1"/>
    <w:rsid w:val="00306E07"/>
    <w:rsid w:val="00307C8F"/>
    <w:rsid w:val="00311035"/>
    <w:rsid w:val="00311403"/>
    <w:rsid w:val="00312A34"/>
    <w:rsid w:val="00316254"/>
    <w:rsid w:val="00317DC8"/>
    <w:rsid w:val="003237F4"/>
    <w:rsid w:val="003240B1"/>
    <w:rsid w:val="00324390"/>
    <w:rsid w:val="00325172"/>
    <w:rsid w:val="0032646D"/>
    <w:rsid w:val="00330912"/>
    <w:rsid w:val="003315C3"/>
    <w:rsid w:val="003316BD"/>
    <w:rsid w:val="00331B49"/>
    <w:rsid w:val="00331FB6"/>
    <w:rsid w:val="0033277F"/>
    <w:rsid w:val="00333845"/>
    <w:rsid w:val="00333EBE"/>
    <w:rsid w:val="00335B44"/>
    <w:rsid w:val="00341074"/>
    <w:rsid w:val="003452F4"/>
    <w:rsid w:val="003472D9"/>
    <w:rsid w:val="003529A0"/>
    <w:rsid w:val="00355A87"/>
    <w:rsid w:val="00360C72"/>
    <w:rsid w:val="00362208"/>
    <w:rsid w:val="00362702"/>
    <w:rsid w:val="0036284F"/>
    <w:rsid w:val="003634E4"/>
    <w:rsid w:val="00372D90"/>
    <w:rsid w:val="0037329F"/>
    <w:rsid w:val="00373495"/>
    <w:rsid w:val="00373C0A"/>
    <w:rsid w:val="00380BD0"/>
    <w:rsid w:val="00384B14"/>
    <w:rsid w:val="00384B7F"/>
    <w:rsid w:val="00391438"/>
    <w:rsid w:val="003923A2"/>
    <w:rsid w:val="003A17CC"/>
    <w:rsid w:val="003A4C31"/>
    <w:rsid w:val="003A6043"/>
    <w:rsid w:val="003B01B5"/>
    <w:rsid w:val="003B189E"/>
    <w:rsid w:val="003B594E"/>
    <w:rsid w:val="003C1BF6"/>
    <w:rsid w:val="003C3551"/>
    <w:rsid w:val="003C3806"/>
    <w:rsid w:val="003C3D16"/>
    <w:rsid w:val="003C50E4"/>
    <w:rsid w:val="003D2177"/>
    <w:rsid w:val="003E20E7"/>
    <w:rsid w:val="003E3B90"/>
    <w:rsid w:val="003E78AA"/>
    <w:rsid w:val="003F423F"/>
    <w:rsid w:val="003F53BC"/>
    <w:rsid w:val="003F5444"/>
    <w:rsid w:val="004048DF"/>
    <w:rsid w:val="00406297"/>
    <w:rsid w:val="00406F98"/>
    <w:rsid w:val="00407651"/>
    <w:rsid w:val="004127D8"/>
    <w:rsid w:val="00413534"/>
    <w:rsid w:val="00414403"/>
    <w:rsid w:val="00415D94"/>
    <w:rsid w:val="0041755E"/>
    <w:rsid w:val="004219FD"/>
    <w:rsid w:val="00421AD4"/>
    <w:rsid w:val="00421DDA"/>
    <w:rsid w:val="00424420"/>
    <w:rsid w:val="0042460D"/>
    <w:rsid w:val="00424DF9"/>
    <w:rsid w:val="0043250F"/>
    <w:rsid w:val="00432FC6"/>
    <w:rsid w:val="004330AB"/>
    <w:rsid w:val="00434615"/>
    <w:rsid w:val="00441C8C"/>
    <w:rsid w:val="00443277"/>
    <w:rsid w:val="00446F19"/>
    <w:rsid w:val="0045009B"/>
    <w:rsid w:val="0045085E"/>
    <w:rsid w:val="00453C1D"/>
    <w:rsid w:val="004548F1"/>
    <w:rsid w:val="004564BD"/>
    <w:rsid w:val="0045685D"/>
    <w:rsid w:val="00462764"/>
    <w:rsid w:val="00464612"/>
    <w:rsid w:val="00464656"/>
    <w:rsid w:val="0047187A"/>
    <w:rsid w:val="0047309F"/>
    <w:rsid w:val="00480096"/>
    <w:rsid w:val="00484AEA"/>
    <w:rsid w:val="00486F90"/>
    <w:rsid w:val="00490393"/>
    <w:rsid w:val="0049337E"/>
    <w:rsid w:val="00495478"/>
    <w:rsid w:val="00495E91"/>
    <w:rsid w:val="004A2E10"/>
    <w:rsid w:val="004B11D9"/>
    <w:rsid w:val="004B26AA"/>
    <w:rsid w:val="004B32DE"/>
    <w:rsid w:val="004B3EA7"/>
    <w:rsid w:val="004B73D4"/>
    <w:rsid w:val="004B74EF"/>
    <w:rsid w:val="004C0BC7"/>
    <w:rsid w:val="004C0F73"/>
    <w:rsid w:val="004C2187"/>
    <w:rsid w:val="004C382E"/>
    <w:rsid w:val="004C4334"/>
    <w:rsid w:val="004C4854"/>
    <w:rsid w:val="004C5228"/>
    <w:rsid w:val="004C6554"/>
    <w:rsid w:val="004D61A3"/>
    <w:rsid w:val="004D69B3"/>
    <w:rsid w:val="004D770C"/>
    <w:rsid w:val="004E1732"/>
    <w:rsid w:val="004E196D"/>
    <w:rsid w:val="004E29D0"/>
    <w:rsid w:val="004E54EC"/>
    <w:rsid w:val="004E7139"/>
    <w:rsid w:val="004F284D"/>
    <w:rsid w:val="004F48E0"/>
    <w:rsid w:val="00500B00"/>
    <w:rsid w:val="00503576"/>
    <w:rsid w:val="00504878"/>
    <w:rsid w:val="00504893"/>
    <w:rsid w:val="005064EF"/>
    <w:rsid w:val="00506803"/>
    <w:rsid w:val="00506F23"/>
    <w:rsid w:val="005111A5"/>
    <w:rsid w:val="00513871"/>
    <w:rsid w:val="00515F55"/>
    <w:rsid w:val="00516DE4"/>
    <w:rsid w:val="00517FEB"/>
    <w:rsid w:val="0052106E"/>
    <w:rsid w:val="005224BB"/>
    <w:rsid w:val="00522F17"/>
    <w:rsid w:val="00524734"/>
    <w:rsid w:val="00526763"/>
    <w:rsid w:val="005268F1"/>
    <w:rsid w:val="00535BB0"/>
    <w:rsid w:val="00542A19"/>
    <w:rsid w:val="00544836"/>
    <w:rsid w:val="00545FD2"/>
    <w:rsid w:val="00546469"/>
    <w:rsid w:val="00546F6B"/>
    <w:rsid w:val="00547B8F"/>
    <w:rsid w:val="00550B29"/>
    <w:rsid w:val="005556BF"/>
    <w:rsid w:val="005567A0"/>
    <w:rsid w:val="00560D71"/>
    <w:rsid w:val="005633B3"/>
    <w:rsid w:val="005655DE"/>
    <w:rsid w:val="005656FB"/>
    <w:rsid w:val="00565E01"/>
    <w:rsid w:val="00566A50"/>
    <w:rsid w:val="00567793"/>
    <w:rsid w:val="005700E6"/>
    <w:rsid w:val="00570313"/>
    <w:rsid w:val="0057181F"/>
    <w:rsid w:val="00571F67"/>
    <w:rsid w:val="0057270D"/>
    <w:rsid w:val="00580B2F"/>
    <w:rsid w:val="0058236A"/>
    <w:rsid w:val="00584AE7"/>
    <w:rsid w:val="00585176"/>
    <w:rsid w:val="00586A65"/>
    <w:rsid w:val="0058785D"/>
    <w:rsid w:val="005900CA"/>
    <w:rsid w:val="005908FA"/>
    <w:rsid w:val="005921F7"/>
    <w:rsid w:val="00597110"/>
    <w:rsid w:val="005979E7"/>
    <w:rsid w:val="005A26D8"/>
    <w:rsid w:val="005A5641"/>
    <w:rsid w:val="005A60FE"/>
    <w:rsid w:val="005A75D1"/>
    <w:rsid w:val="005B5B96"/>
    <w:rsid w:val="005B60A8"/>
    <w:rsid w:val="005B6AD5"/>
    <w:rsid w:val="005C1840"/>
    <w:rsid w:val="005C4145"/>
    <w:rsid w:val="005C41FA"/>
    <w:rsid w:val="005D23A8"/>
    <w:rsid w:val="005D2B8C"/>
    <w:rsid w:val="005E14FF"/>
    <w:rsid w:val="005E1738"/>
    <w:rsid w:val="005F0C28"/>
    <w:rsid w:val="005F59FC"/>
    <w:rsid w:val="00602439"/>
    <w:rsid w:val="006026C1"/>
    <w:rsid w:val="00604E27"/>
    <w:rsid w:val="0060552B"/>
    <w:rsid w:val="00607F92"/>
    <w:rsid w:val="00611134"/>
    <w:rsid w:val="006112BE"/>
    <w:rsid w:val="0061548E"/>
    <w:rsid w:val="00615842"/>
    <w:rsid w:val="006165E4"/>
    <w:rsid w:val="00616B2C"/>
    <w:rsid w:val="006222A3"/>
    <w:rsid w:val="006253C2"/>
    <w:rsid w:val="0062551A"/>
    <w:rsid w:val="00636B40"/>
    <w:rsid w:val="0063709A"/>
    <w:rsid w:val="00641582"/>
    <w:rsid w:val="00646588"/>
    <w:rsid w:val="0064728F"/>
    <w:rsid w:val="00650F5D"/>
    <w:rsid w:val="00652EEB"/>
    <w:rsid w:val="00654542"/>
    <w:rsid w:val="006615F5"/>
    <w:rsid w:val="00667158"/>
    <w:rsid w:val="00671C2F"/>
    <w:rsid w:val="00672501"/>
    <w:rsid w:val="00673577"/>
    <w:rsid w:val="0068409C"/>
    <w:rsid w:val="006861A9"/>
    <w:rsid w:val="006864EA"/>
    <w:rsid w:val="006879EA"/>
    <w:rsid w:val="00691AAB"/>
    <w:rsid w:val="006922CE"/>
    <w:rsid w:val="006A0CCF"/>
    <w:rsid w:val="006A1651"/>
    <w:rsid w:val="006A18CF"/>
    <w:rsid w:val="006A1EBA"/>
    <w:rsid w:val="006A2471"/>
    <w:rsid w:val="006A3397"/>
    <w:rsid w:val="006A3FED"/>
    <w:rsid w:val="006A49AE"/>
    <w:rsid w:val="006B2313"/>
    <w:rsid w:val="006B3321"/>
    <w:rsid w:val="006B60A9"/>
    <w:rsid w:val="006B6ED6"/>
    <w:rsid w:val="006C076C"/>
    <w:rsid w:val="006C22CF"/>
    <w:rsid w:val="006C290F"/>
    <w:rsid w:val="006C34A3"/>
    <w:rsid w:val="006C3C29"/>
    <w:rsid w:val="006C53F9"/>
    <w:rsid w:val="006D3C22"/>
    <w:rsid w:val="006D5A4C"/>
    <w:rsid w:val="006D6612"/>
    <w:rsid w:val="006E02CA"/>
    <w:rsid w:val="006E203B"/>
    <w:rsid w:val="006E551E"/>
    <w:rsid w:val="006E6629"/>
    <w:rsid w:val="006E7869"/>
    <w:rsid w:val="006F1D64"/>
    <w:rsid w:val="006F3700"/>
    <w:rsid w:val="00700019"/>
    <w:rsid w:val="0070036E"/>
    <w:rsid w:val="00702046"/>
    <w:rsid w:val="00706066"/>
    <w:rsid w:val="00712FB0"/>
    <w:rsid w:val="00713FE6"/>
    <w:rsid w:val="00715AC8"/>
    <w:rsid w:val="007167B9"/>
    <w:rsid w:val="00716F5C"/>
    <w:rsid w:val="00717AB0"/>
    <w:rsid w:val="00722AF6"/>
    <w:rsid w:val="00733CA3"/>
    <w:rsid w:val="00734150"/>
    <w:rsid w:val="00737D08"/>
    <w:rsid w:val="007402E4"/>
    <w:rsid w:val="00743D27"/>
    <w:rsid w:val="00746118"/>
    <w:rsid w:val="00747C7E"/>
    <w:rsid w:val="007528A0"/>
    <w:rsid w:val="00752F11"/>
    <w:rsid w:val="00757EE0"/>
    <w:rsid w:val="00763C0A"/>
    <w:rsid w:val="00767D0C"/>
    <w:rsid w:val="00772B6E"/>
    <w:rsid w:val="007746AC"/>
    <w:rsid w:val="007820C5"/>
    <w:rsid w:val="007855ED"/>
    <w:rsid w:val="00787904"/>
    <w:rsid w:val="00790BCE"/>
    <w:rsid w:val="007927E8"/>
    <w:rsid w:val="0079375D"/>
    <w:rsid w:val="00795A88"/>
    <w:rsid w:val="00795B1F"/>
    <w:rsid w:val="007977C0"/>
    <w:rsid w:val="007A018B"/>
    <w:rsid w:val="007A11EE"/>
    <w:rsid w:val="007A3D0B"/>
    <w:rsid w:val="007A7555"/>
    <w:rsid w:val="007A7AB9"/>
    <w:rsid w:val="007B2907"/>
    <w:rsid w:val="007B4D03"/>
    <w:rsid w:val="007B66C5"/>
    <w:rsid w:val="007B767A"/>
    <w:rsid w:val="007C13DC"/>
    <w:rsid w:val="007C180A"/>
    <w:rsid w:val="007C191C"/>
    <w:rsid w:val="007C3084"/>
    <w:rsid w:val="007C74A5"/>
    <w:rsid w:val="007D0900"/>
    <w:rsid w:val="007D2AEB"/>
    <w:rsid w:val="007E0A01"/>
    <w:rsid w:val="007E2A3F"/>
    <w:rsid w:val="007E3251"/>
    <w:rsid w:val="007E35B3"/>
    <w:rsid w:val="007E3F5E"/>
    <w:rsid w:val="007E4BCE"/>
    <w:rsid w:val="007E7DC8"/>
    <w:rsid w:val="007F01EE"/>
    <w:rsid w:val="007F0A07"/>
    <w:rsid w:val="007F12E3"/>
    <w:rsid w:val="007F2252"/>
    <w:rsid w:val="007F3858"/>
    <w:rsid w:val="007F3D6D"/>
    <w:rsid w:val="00804424"/>
    <w:rsid w:val="00810110"/>
    <w:rsid w:val="008107C4"/>
    <w:rsid w:val="008127D2"/>
    <w:rsid w:val="008128E0"/>
    <w:rsid w:val="00816B01"/>
    <w:rsid w:val="008204DE"/>
    <w:rsid w:val="0082070C"/>
    <w:rsid w:val="0082270A"/>
    <w:rsid w:val="00824CF7"/>
    <w:rsid w:val="00824E9C"/>
    <w:rsid w:val="00826950"/>
    <w:rsid w:val="00827DB4"/>
    <w:rsid w:val="008337EE"/>
    <w:rsid w:val="00835155"/>
    <w:rsid w:val="0083625B"/>
    <w:rsid w:val="00836DF9"/>
    <w:rsid w:val="0083705C"/>
    <w:rsid w:val="00841DCB"/>
    <w:rsid w:val="00842D83"/>
    <w:rsid w:val="008460A6"/>
    <w:rsid w:val="00847702"/>
    <w:rsid w:val="00851AB0"/>
    <w:rsid w:val="00853C6C"/>
    <w:rsid w:val="00856C08"/>
    <w:rsid w:val="0086294E"/>
    <w:rsid w:val="00866BF8"/>
    <w:rsid w:val="00867107"/>
    <w:rsid w:val="008757AD"/>
    <w:rsid w:val="00876F87"/>
    <w:rsid w:val="00877D9D"/>
    <w:rsid w:val="008860B5"/>
    <w:rsid w:val="00890063"/>
    <w:rsid w:val="00890579"/>
    <w:rsid w:val="008928CC"/>
    <w:rsid w:val="00893707"/>
    <w:rsid w:val="00893EE8"/>
    <w:rsid w:val="00896821"/>
    <w:rsid w:val="0089711F"/>
    <w:rsid w:val="008A0A10"/>
    <w:rsid w:val="008A1BF3"/>
    <w:rsid w:val="008A2C71"/>
    <w:rsid w:val="008B094E"/>
    <w:rsid w:val="008B0E2C"/>
    <w:rsid w:val="008B100F"/>
    <w:rsid w:val="008B7C52"/>
    <w:rsid w:val="008C033F"/>
    <w:rsid w:val="008C0567"/>
    <w:rsid w:val="008C05EA"/>
    <w:rsid w:val="008C1747"/>
    <w:rsid w:val="008C23C7"/>
    <w:rsid w:val="008C37BC"/>
    <w:rsid w:val="008C5A20"/>
    <w:rsid w:val="008C74E4"/>
    <w:rsid w:val="008C7524"/>
    <w:rsid w:val="008C7B2D"/>
    <w:rsid w:val="008C7E5C"/>
    <w:rsid w:val="008C7FF3"/>
    <w:rsid w:val="008D2DF9"/>
    <w:rsid w:val="008D4857"/>
    <w:rsid w:val="008D704E"/>
    <w:rsid w:val="008D7DFB"/>
    <w:rsid w:val="008E3D9C"/>
    <w:rsid w:val="008E40C6"/>
    <w:rsid w:val="008E7D24"/>
    <w:rsid w:val="008F194C"/>
    <w:rsid w:val="008F2C00"/>
    <w:rsid w:val="008F3171"/>
    <w:rsid w:val="008F612C"/>
    <w:rsid w:val="008F63F2"/>
    <w:rsid w:val="008F7AD1"/>
    <w:rsid w:val="00900D18"/>
    <w:rsid w:val="00902C9B"/>
    <w:rsid w:val="009030ED"/>
    <w:rsid w:val="00903683"/>
    <w:rsid w:val="00903A79"/>
    <w:rsid w:val="0091038A"/>
    <w:rsid w:val="009119B6"/>
    <w:rsid w:val="00914CCC"/>
    <w:rsid w:val="009158F8"/>
    <w:rsid w:val="00916D9E"/>
    <w:rsid w:val="00922811"/>
    <w:rsid w:val="00923A95"/>
    <w:rsid w:val="009248C7"/>
    <w:rsid w:val="00924F5E"/>
    <w:rsid w:val="00927709"/>
    <w:rsid w:val="0093013C"/>
    <w:rsid w:val="0094004C"/>
    <w:rsid w:val="0094131D"/>
    <w:rsid w:val="009422B8"/>
    <w:rsid w:val="009439DA"/>
    <w:rsid w:val="00951563"/>
    <w:rsid w:val="00952FE0"/>
    <w:rsid w:val="00953883"/>
    <w:rsid w:val="00954B75"/>
    <w:rsid w:val="009566F6"/>
    <w:rsid w:val="00956C2A"/>
    <w:rsid w:val="0097030F"/>
    <w:rsid w:val="00970D68"/>
    <w:rsid w:val="00972B40"/>
    <w:rsid w:val="00973F8F"/>
    <w:rsid w:val="0097727E"/>
    <w:rsid w:val="00980057"/>
    <w:rsid w:val="0098200C"/>
    <w:rsid w:val="009876C0"/>
    <w:rsid w:val="00990E6B"/>
    <w:rsid w:val="00991A5E"/>
    <w:rsid w:val="00995A24"/>
    <w:rsid w:val="009A5FCC"/>
    <w:rsid w:val="009A7C16"/>
    <w:rsid w:val="009A7FF9"/>
    <w:rsid w:val="009B4776"/>
    <w:rsid w:val="009B4FD1"/>
    <w:rsid w:val="009B5122"/>
    <w:rsid w:val="009C274E"/>
    <w:rsid w:val="009C590D"/>
    <w:rsid w:val="009C73C3"/>
    <w:rsid w:val="009D1728"/>
    <w:rsid w:val="009D4224"/>
    <w:rsid w:val="009E0B27"/>
    <w:rsid w:val="009E0CF7"/>
    <w:rsid w:val="009E1125"/>
    <w:rsid w:val="009E2A04"/>
    <w:rsid w:val="009E47C8"/>
    <w:rsid w:val="009E792D"/>
    <w:rsid w:val="009F35C1"/>
    <w:rsid w:val="00A00E68"/>
    <w:rsid w:val="00A11360"/>
    <w:rsid w:val="00A124F7"/>
    <w:rsid w:val="00A14EED"/>
    <w:rsid w:val="00A20D26"/>
    <w:rsid w:val="00A264E4"/>
    <w:rsid w:val="00A26BC4"/>
    <w:rsid w:val="00A2F348"/>
    <w:rsid w:val="00A325BD"/>
    <w:rsid w:val="00A35FCE"/>
    <w:rsid w:val="00A36ECA"/>
    <w:rsid w:val="00A411A4"/>
    <w:rsid w:val="00A45CFE"/>
    <w:rsid w:val="00A46131"/>
    <w:rsid w:val="00A5472D"/>
    <w:rsid w:val="00A549C2"/>
    <w:rsid w:val="00A54A52"/>
    <w:rsid w:val="00A55026"/>
    <w:rsid w:val="00A557CC"/>
    <w:rsid w:val="00A61F4A"/>
    <w:rsid w:val="00A62350"/>
    <w:rsid w:val="00A62926"/>
    <w:rsid w:val="00A63AC6"/>
    <w:rsid w:val="00A65451"/>
    <w:rsid w:val="00A6577A"/>
    <w:rsid w:val="00A66792"/>
    <w:rsid w:val="00A67F2D"/>
    <w:rsid w:val="00A7056E"/>
    <w:rsid w:val="00A7279E"/>
    <w:rsid w:val="00A73440"/>
    <w:rsid w:val="00A740CD"/>
    <w:rsid w:val="00A74D92"/>
    <w:rsid w:val="00A75971"/>
    <w:rsid w:val="00A8077A"/>
    <w:rsid w:val="00A84E17"/>
    <w:rsid w:val="00A85AAA"/>
    <w:rsid w:val="00A87CE1"/>
    <w:rsid w:val="00A958A4"/>
    <w:rsid w:val="00A95960"/>
    <w:rsid w:val="00A95D41"/>
    <w:rsid w:val="00A964FB"/>
    <w:rsid w:val="00A96731"/>
    <w:rsid w:val="00AA03E8"/>
    <w:rsid w:val="00AA103B"/>
    <w:rsid w:val="00AA1AA4"/>
    <w:rsid w:val="00AB153C"/>
    <w:rsid w:val="00AB1ED3"/>
    <w:rsid w:val="00AB3AD8"/>
    <w:rsid w:val="00AB4237"/>
    <w:rsid w:val="00AB625F"/>
    <w:rsid w:val="00AB705A"/>
    <w:rsid w:val="00AC1B06"/>
    <w:rsid w:val="00AC31A6"/>
    <w:rsid w:val="00AC3A7C"/>
    <w:rsid w:val="00AC5438"/>
    <w:rsid w:val="00AC73E7"/>
    <w:rsid w:val="00AD1B76"/>
    <w:rsid w:val="00AD2FE6"/>
    <w:rsid w:val="00AD415E"/>
    <w:rsid w:val="00AD4EEE"/>
    <w:rsid w:val="00AE524B"/>
    <w:rsid w:val="00AE6963"/>
    <w:rsid w:val="00AF0A0A"/>
    <w:rsid w:val="00AF660C"/>
    <w:rsid w:val="00AF7FA4"/>
    <w:rsid w:val="00B00752"/>
    <w:rsid w:val="00B0173A"/>
    <w:rsid w:val="00B02962"/>
    <w:rsid w:val="00B052F7"/>
    <w:rsid w:val="00B05787"/>
    <w:rsid w:val="00B15679"/>
    <w:rsid w:val="00B176DD"/>
    <w:rsid w:val="00B179DE"/>
    <w:rsid w:val="00B216AD"/>
    <w:rsid w:val="00B22A17"/>
    <w:rsid w:val="00B30574"/>
    <w:rsid w:val="00B326E1"/>
    <w:rsid w:val="00B34C54"/>
    <w:rsid w:val="00B35802"/>
    <w:rsid w:val="00B41EC6"/>
    <w:rsid w:val="00B527B3"/>
    <w:rsid w:val="00B533C2"/>
    <w:rsid w:val="00B53907"/>
    <w:rsid w:val="00B5547F"/>
    <w:rsid w:val="00B57632"/>
    <w:rsid w:val="00B57D9A"/>
    <w:rsid w:val="00B612DC"/>
    <w:rsid w:val="00B61EB9"/>
    <w:rsid w:val="00B6410E"/>
    <w:rsid w:val="00B64AAB"/>
    <w:rsid w:val="00B7068E"/>
    <w:rsid w:val="00B711FC"/>
    <w:rsid w:val="00B72F57"/>
    <w:rsid w:val="00B73802"/>
    <w:rsid w:val="00B73D6B"/>
    <w:rsid w:val="00B75DC7"/>
    <w:rsid w:val="00B76A19"/>
    <w:rsid w:val="00B82017"/>
    <w:rsid w:val="00B849A8"/>
    <w:rsid w:val="00B9424A"/>
    <w:rsid w:val="00B96C71"/>
    <w:rsid w:val="00B96F42"/>
    <w:rsid w:val="00B97154"/>
    <w:rsid w:val="00BA0198"/>
    <w:rsid w:val="00BA0684"/>
    <w:rsid w:val="00BA2C87"/>
    <w:rsid w:val="00BA30B2"/>
    <w:rsid w:val="00BA4DD6"/>
    <w:rsid w:val="00BA6D7A"/>
    <w:rsid w:val="00BB1403"/>
    <w:rsid w:val="00BB4013"/>
    <w:rsid w:val="00BB4AA7"/>
    <w:rsid w:val="00BB4EAF"/>
    <w:rsid w:val="00BB67EE"/>
    <w:rsid w:val="00BB7821"/>
    <w:rsid w:val="00BC082C"/>
    <w:rsid w:val="00BC10BE"/>
    <w:rsid w:val="00BC11EE"/>
    <w:rsid w:val="00BC1672"/>
    <w:rsid w:val="00BC2E60"/>
    <w:rsid w:val="00BC3003"/>
    <w:rsid w:val="00BC3700"/>
    <w:rsid w:val="00BC5482"/>
    <w:rsid w:val="00BD008F"/>
    <w:rsid w:val="00BD0234"/>
    <w:rsid w:val="00BD1EF6"/>
    <w:rsid w:val="00BD24EC"/>
    <w:rsid w:val="00BD564D"/>
    <w:rsid w:val="00BD72C2"/>
    <w:rsid w:val="00BE5B63"/>
    <w:rsid w:val="00BE6AE0"/>
    <w:rsid w:val="00BE73F4"/>
    <w:rsid w:val="00BE782E"/>
    <w:rsid w:val="00BF611C"/>
    <w:rsid w:val="00BF652E"/>
    <w:rsid w:val="00C00095"/>
    <w:rsid w:val="00C12778"/>
    <w:rsid w:val="00C12B18"/>
    <w:rsid w:val="00C14F32"/>
    <w:rsid w:val="00C14FB4"/>
    <w:rsid w:val="00C1708E"/>
    <w:rsid w:val="00C21D48"/>
    <w:rsid w:val="00C23C5E"/>
    <w:rsid w:val="00C26839"/>
    <w:rsid w:val="00C2780F"/>
    <w:rsid w:val="00C30732"/>
    <w:rsid w:val="00C31821"/>
    <w:rsid w:val="00C32366"/>
    <w:rsid w:val="00C34D53"/>
    <w:rsid w:val="00C34D65"/>
    <w:rsid w:val="00C423CD"/>
    <w:rsid w:val="00C52BE2"/>
    <w:rsid w:val="00C52DEA"/>
    <w:rsid w:val="00C55135"/>
    <w:rsid w:val="00C56B46"/>
    <w:rsid w:val="00C5721E"/>
    <w:rsid w:val="00C66377"/>
    <w:rsid w:val="00C66541"/>
    <w:rsid w:val="00C66C52"/>
    <w:rsid w:val="00C7216F"/>
    <w:rsid w:val="00C7261B"/>
    <w:rsid w:val="00C76E27"/>
    <w:rsid w:val="00C809BE"/>
    <w:rsid w:val="00C82221"/>
    <w:rsid w:val="00C83C86"/>
    <w:rsid w:val="00C846E3"/>
    <w:rsid w:val="00C84C50"/>
    <w:rsid w:val="00C8503D"/>
    <w:rsid w:val="00C86759"/>
    <w:rsid w:val="00C87351"/>
    <w:rsid w:val="00C87653"/>
    <w:rsid w:val="00C879AF"/>
    <w:rsid w:val="00C90067"/>
    <w:rsid w:val="00C921ED"/>
    <w:rsid w:val="00C939E4"/>
    <w:rsid w:val="00C9529A"/>
    <w:rsid w:val="00C957BE"/>
    <w:rsid w:val="00C96BEC"/>
    <w:rsid w:val="00C977F8"/>
    <w:rsid w:val="00CA3ADC"/>
    <w:rsid w:val="00CA3ED1"/>
    <w:rsid w:val="00CA4A11"/>
    <w:rsid w:val="00CA4D97"/>
    <w:rsid w:val="00CA4E04"/>
    <w:rsid w:val="00CA57DF"/>
    <w:rsid w:val="00CA6D0B"/>
    <w:rsid w:val="00CB20F4"/>
    <w:rsid w:val="00CB4387"/>
    <w:rsid w:val="00CB45E1"/>
    <w:rsid w:val="00CC1606"/>
    <w:rsid w:val="00CC5029"/>
    <w:rsid w:val="00CC5D57"/>
    <w:rsid w:val="00CC7ADB"/>
    <w:rsid w:val="00CD1F62"/>
    <w:rsid w:val="00CE1CF0"/>
    <w:rsid w:val="00CE50F2"/>
    <w:rsid w:val="00CE6665"/>
    <w:rsid w:val="00CE6B7D"/>
    <w:rsid w:val="00CE7502"/>
    <w:rsid w:val="00CE7D10"/>
    <w:rsid w:val="00CF0A3B"/>
    <w:rsid w:val="00CF130C"/>
    <w:rsid w:val="00CF340B"/>
    <w:rsid w:val="00CF392D"/>
    <w:rsid w:val="00CF6BF4"/>
    <w:rsid w:val="00CF7F13"/>
    <w:rsid w:val="00D00254"/>
    <w:rsid w:val="00D10948"/>
    <w:rsid w:val="00D10960"/>
    <w:rsid w:val="00D1118B"/>
    <w:rsid w:val="00D13A68"/>
    <w:rsid w:val="00D206DD"/>
    <w:rsid w:val="00D22A2D"/>
    <w:rsid w:val="00D23AC6"/>
    <w:rsid w:val="00D2482C"/>
    <w:rsid w:val="00D25E4E"/>
    <w:rsid w:val="00D26540"/>
    <w:rsid w:val="00D30B15"/>
    <w:rsid w:val="00D349F1"/>
    <w:rsid w:val="00D42527"/>
    <w:rsid w:val="00D45C50"/>
    <w:rsid w:val="00D46172"/>
    <w:rsid w:val="00D5243D"/>
    <w:rsid w:val="00D52FBD"/>
    <w:rsid w:val="00D5354F"/>
    <w:rsid w:val="00D53B93"/>
    <w:rsid w:val="00D54FC1"/>
    <w:rsid w:val="00D55588"/>
    <w:rsid w:val="00D55CCE"/>
    <w:rsid w:val="00D626F0"/>
    <w:rsid w:val="00D67DBB"/>
    <w:rsid w:val="00D70C72"/>
    <w:rsid w:val="00D716AC"/>
    <w:rsid w:val="00D71883"/>
    <w:rsid w:val="00D73087"/>
    <w:rsid w:val="00D74E1B"/>
    <w:rsid w:val="00D74F16"/>
    <w:rsid w:val="00D76325"/>
    <w:rsid w:val="00D830B9"/>
    <w:rsid w:val="00D83BDA"/>
    <w:rsid w:val="00D87831"/>
    <w:rsid w:val="00D91AEE"/>
    <w:rsid w:val="00D944B5"/>
    <w:rsid w:val="00D94912"/>
    <w:rsid w:val="00DA1BF9"/>
    <w:rsid w:val="00DA28DE"/>
    <w:rsid w:val="00DA2904"/>
    <w:rsid w:val="00DA3987"/>
    <w:rsid w:val="00DB0159"/>
    <w:rsid w:val="00DB1566"/>
    <w:rsid w:val="00DB4F40"/>
    <w:rsid w:val="00DC0403"/>
    <w:rsid w:val="00DC0D51"/>
    <w:rsid w:val="00DC2856"/>
    <w:rsid w:val="00DC5254"/>
    <w:rsid w:val="00DC679F"/>
    <w:rsid w:val="00DC6800"/>
    <w:rsid w:val="00DC6E43"/>
    <w:rsid w:val="00DD1F22"/>
    <w:rsid w:val="00DD2076"/>
    <w:rsid w:val="00DD2E37"/>
    <w:rsid w:val="00DD4BAA"/>
    <w:rsid w:val="00DD4E6A"/>
    <w:rsid w:val="00DE4C50"/>
    <w:rsid w:val="00DE5CE2"/>
    <w:rsid w:val="00DF06B0"/>
    <w:rsid w:val="00DF7277"/>
    <w:rsid w:val="00DF7D4A"/>
    <w:rsid w:val="00E0002A"/>
    <w:rsid w:val="00E007D0"/>
    <w:rsid w:val="00E015B9"/>
    <w:rsid w:val="00E03E4C"/>
    <w:rsid w:val="00E10932"/>
    <w:rsid w:val="00E10AB8"/>
    <w:rsid w:val="00E13873"/>
    <w:rsid w:val="00E16F4C"/>
    <w:rsid w:val="00E25FE5"/>
    <w:rsid w:val="00E27497"/>
    <w:rsid w:val="00E2775C"/>
    <w:rsid w:val="00E3240C"/>
    <w:rsid w:val="00E34257"/>
    <w:rsid w:val="00E35432"/>
    <w:rsid w:val="00E3653F"/>
    <w:rsid w:val="00E379B8"/>
    <w:rsid w:val="00E40E0C"/>
    <w:rsid w:val="00E46DC1"/>
    <w:rsid w:val="00E51172"/>
    <w:rsid w:val="00E52588"/>
    <w:rsid w:val="00E528D0"/>
    <w:rsid w:val="00E6023F"/>
    <w:rsid w:val="00E62B1F"/>
    <w:rsid w:val="00E653D9"/>
    <w:rsid w:val="00E72254"/>
    <w:rsid w:val="00E72BBF"/>
    <w:rsid w:val="00E77165"/>
    <w:rsid w:val="00E77C2C"/>
    <w:rsid w:val="00E80DF7"/>
    <w:rsid w:val="00E8261A"/>
    <w:rsid w:val="00E838EA"/>
    <w:rsid w:val="00E84F8A"/>
    <w:rsid w:val="00E85C58"/>
    <w:rsid w:val="00E86A7E"/>
    <w:rsid w:val="00E90AF5"/>
    <w:rsid w:val="00E90E3C"/>
    <w:rsid w:val="00E9137C"/>
    <w:rsid w:val="00E9376F"/>
    <w:rsid w:val="00E9557F"/>
    <w:rsid w:val="00E95FE6"/>
    <w:rsid w:val="00EA322E"/>
    <w:rsid w:val="00EA3BD1"/>
    <w:rsid w:val="00EA5455"/>
    <w:rsid w:val="00EA5871"/>
    <w:rsid w:val="00EA7DFB"/>
    <w:rsid w:val="00EB16A1"/>
    <w:rsid w:val="00EB2BCC"/>
    <w:rsid w:val="00EB3898"/>
    <w:rsid w:val="00EB4217"/>
    <w:rsid w:val="00EB5C7D"/>
    <w:rsid w:val="00EB7831"/>
    <w:rsid w:val="00EC3323"/>
    <w:rsid w:val="00EC38E2"/>
    <w:rsid w:val="00EC7F8C"/>
    <w:rsid w:val="00ED0483"/>
    <w:rsid w:val="00ED101F"/>
    <w:rsid w:val="00ED3174"/>
    <w:rsid w:val="00ED5D72"/>
    <w:rsid w:val="00ED618A"/>
    <w:rsid w:val="00ED6730"/>
    <w:rsid w:val="00EE0978"/>
    <w:rsid w:val="00EE0E83"/>
    <w:rsid w:val="00EE3B88"/>
    <w:rsid w:val="00EE610B"/>
    <w:rsid w:val="00EE69A0"/>
    <w:rsid w:val="00EF667E"/>
    <w:rsid w:val="00EF7B62"/>
    <w:rsid w:val="00EF7D3F"/>
    <w:rsid w:val="00F0323F"/>
    <w:rsid w:val="00F07BD8"/>
    <w:rsid w:val="00F11D5F"/>
    <w:rsid w:val="00F145F0"/>
    <w:rsid w:val="00F16113"/>
    <w:rsid w:val="00F16BA1"/>
    <w:rsid w:val="00F2140C"/>
    <w:rsid w:val="00F26804"/>
    <w:rsid w:val="00F30B45"/>
    <w:rsid w:val="00F31018"/>
    <w:rsid w:val="00F31F40"/>
    <w:rsid w:val="00F34F52"/>
    <w:rsid w:val="00F353DA"/>
    <w:rsid w:val="00F36379"/>
    <w:rsid w:val="00F3664D"/>
    <w:rsid w:val="00F36826"/>
    <w:rsid w:val="00F4322E"/>
    <w:rsid w:val="00F4399F"/>
    <w:rsid w:val="00F44AC9"/>
    <w:rsid w:val="00F46AA8"/>
    <w:rsid w:val="00F51F16"/>
    <w:rsid w:val="00F56B08"/>
    <w:rsid w:val="00F56BFF"/>
    <w:rsid w:val="00F56D1F"/>
    <w:rsid w:val="00F56F1C"/>
    <w:rsid w:val="00F5730F"/>
    <w:rsid w:val="00F615B5"/>
    <w:rsid w:val="00F62D74"/>
    <w:rsid w:val="00F6381A"/>
    <w:rsid w:val="00F646C4"/>
    <w:rsid w:val="00F64C2E"/>
    <w:rsid w:val="00F6513F"/>
    <w:rsid w:val="00F65640"/>
    <w:rsid w:val="00F72A3F"/>
    <w:rsid w:val="00F72B53"/>
    <w:rsid w:val="00F81563"/>
    <w:rsid w:val="00F8178D"/>
    <w:rsid w:val="00F81FDD"/>
    <w:rsid w:val="00F832CF"/>
    <w:rsid w:val="00F85327"/>
    <w:rsid w:val="00F856A6"/>
    <w:rsid w:val="00F87F5A"/>
    <w:rsid w:val="00F955B6"/>
    <w:rsid w:val="00FA0A66"/>
    <w:rsid w:val="00FA0F3A"/>
    <w:rsid w:val="00FA1872"/>
    <w:rsid w:val="00FA2245"/>
    <w:rsid w:val="00FA3FFF"/>
    <w:rsid w:val="00FB211D"/>
    <w:rsid w:val="00FB3AC5"/>
    <w:rsid w:val="00FB41CF"/>
    <w:rsid w:val="00FB6421"/>
    <w:rsid w:val="00FB647A"/>
    <w:rsid w:val="00FC1FBC"/>
    <w:rsid w:val="00FC3880"/>
    <w:rsid w:val="00FC62E2"/>
    <w:rsid w:val="00FD0905"/>
    <w:rsid w:val="00FD26CF"/>
    <w:rsid w:val="00FD3D75"/>
    <w:rsid w:val="00FD4C92"/>
    <w:rsid w:val="00FD6485"/>
    <w:rsid w:val="00FD7369"/>
    <w:rsid w:val="00FD7859"/>
    <w:rsid w:val="00FE0EEF"/>
    <w:rsid w:val="00FE38AE"/>
    <w:rsid w:val="00FE3DC8"/>
    <w:rsid w:val="00FE50C5"/>
    <w:rsid w:val="00FF00BF"/>
    <w:rsid w:val="00FF06B8"/>
    <w:rsid w:val="00FF18F3"/>
    <w:rsid w:val="00FF19A8"/>
    <w:rsid w:val="00FF40BB"/>
    <w:rsid w:val="00FF5CA8"/>
    <w:rsid w:val="0133364E"/>
    <w:rsid w:val="017B8187"/>
    <w:rsid w:val="024F8818"/>
    <w:rsid w:val="039B3092"/>
    <w:rsid w:val="05652DBC"/>
    <w:rsid w:val="0639CD33"/>
    <w:rsid w:val="06417C55"/>
    <w:rsid w:val="071A25DE"/>
    <w:rsid w:val="079126DD"/>
    <w:rsid w:val="07C8CD6C"/>
    <w:rsid w:val="0937B45B"/>
    <w:rsid w:val="09919840"/>
    <w:rsid w:val="0A12CBB7"/>
    <w:rsid w:val="0AA82569"/>
    <w:rsid w:val="0AAB86FC"/>
    <w:rsid w:val="0B79F6E2"/>
    <w:rsid w:val="0C494A22"/>
    <w:rsid w:val="0CD32BF1"/>
    <w:rsid w:val="0E25366C"/>
    <w:rsid w:val="0FD1FD6B"/>
    <w:rsid w:val="1087927B"/>
    <w:rsid w:val="10B3C42D"/>
    <w:rsid w:val="10C21919"/>
    <w:rsid w:val="112A4C7A"/>
    <w:rsid w:val="12196768"/>
    <w:rsid w:val="12CC34A7"/>
    <w:rsid w:val="179A1359"/>
    <w:rsid w:val="1889B12C"/>
    <w:rsid w:val="188C8F7D"/>
    <w:rsid w:val="190C4729"/>
    <w:rsid w:val="19EC4452"/>
    <w:rsid w:val="1B246A06"/>
    <w:rsid w:val="1B862352"/>
    <w:rsid w:val="1C785B25"/>
    <w:rsid w:val="1E2D8576"/>
    <w:rsid w:val="1E432B92"/>
    <w:rsid w:val="1FA34F6C"/>
    <w:rsid w:val="1FC737C1"/>
    <w:rsid w:val="2104E7C1"/>
    <w:rsid w:val="21855919"/>
    <w:rsid w:val="21A5576E"/>
    <w:rsid w:val="2264B73A"/>
    <w:rsid w:val="22CC5B64"/>
    <w:rsid w:val="2324DE12"/>
    <w:rsid w:val="239BF3D3"/>
    <w:rsid w:val="23A4AC43"/>
    <w:rsid w:val="24346585"/>
    <w:rsid w:val="26FD4AFF"/>
    <w:rsid w:val="2775B74E"/>
    <w:rsid w:val="28BA8B01"/>
    <w:rsid w:val="2B09401B"/>
    <w:rsid w:val="2B85B3D6"/>
    <w:rsid w:val="2CDB26D8"/>
    <w:rsid w:val="2D35D866"/>
    <w:rsid w:val="2D5786CE"/>
    <w:rsid w:val="2E8869E0"/>
    <w:rsid w:val="2EB4C43F"/>
    <w:rsid w:val="2F145FAE"/>
    <w:rsid w:val="2FDA212C"/>
    <w:rsid w:val="30B33EB2"/>
    <w:rsid w:val="3111ED61"/>
    <w:rsid w:val="3131A385"/>
    <w:rsid w:val="31848722"/>
    <w:rsid w:val="31E12BE1"/>
    <w:rsid w:val="3200F389"/>
    <w:rsid w:val="35160321"/>
    <w:rsid w:val="35DAE555"/>
    <w:rsid w:val="373AC2A5"/>
    <w:rsid w:val="3743F5EB"/>
    <w:rsid w:val="3746ABAD"/>
    <w:rsid w:val="3943CF8B"/>
    <w:rsid w:val="398F8BCE"/>
    <w:rsid w:val="3A06D2DF"/>
    <w:rsid w:val="3A2B63AA"/>
    <w:rsid w:val="3C95E528"/>
    <w:rsid w:val="3CBDF20B"/>
    <w:rsid w:val="3DA53752"/>
    <w:rsid w:val="3DB3AB92"/>
    <w:rsid w:val="3ED95218"/>
    <w:rsid w:val="4015C5E4"/>
    <w:rsid w:val="40A6AA4D"/>
    <w:rsid w:val="4189E803"/>
    <w:rsid w:val="4358E101"/>
    <w:rsid w:val="43A45086"/>
    <w:rsid w:val="43A9A2F5"/>
    <w:rsid w:val="43B86B02"/>
    <w:rsid w:val="464D2598"/>
    <w:rsid w:val="46670132"/>
    <w:rsid w:val="485BEFDE"/>
    <w:rsid w:val="4B000E21"/>
    <w:rsid w:val="504F567C"/>
    <w:rsid w:val="51170FB9"/>
    <w:rsid w:val="52FCEBC7"/>
    <w:rsid w:val="534CACF2"/>
    <w:rsid w:val="54EB755D"/>
    <w:rsid w:val="54F8D108"/>
    <w:rsid w:val="55BE3FF5"/>
    <w:rsid w:val="5A11AAC0"/>
    <w:rsid w:val="5E2F74F9"/>
    <w:rsid w:val="5E972837"/>
    <w:rsid w:val="5FA12F42"/>
    <w:rsid w:val="61BCF7EC"/>
    <w:rsid w:val="61F730F2"/>
    <w:rsid w:val="62DE1F50"/>
    <w:rsid w:val="6395A0B9"/>
    <w:rsid w:val="642C631A"/>
    <w:rsid w:val="64743496"/>
    <w:rsid w:val="65CC3945"/>
    <w:rsid w:val="67771862"/>
    <w:rsid w:val="68E8A95B"/>
    <w:rsid w:val="6AECACCD"/>
    <w:rsid w:val="6B57109A"/>
    <w:rsid w:val="6C860CA9"/>
    <w:rsid w:val="6C98BC05"/>
    <w:rsid w:val="6CCD8654"/>
    <w:rsid w:val="6DEEF7C1"/>
    <w:rsid w:val="6E572DEF"/>
    <w:rsid w:val="6F16B8D8"/>
    <w:rsid w:val="6F9FDCE2"/>
    <w:rsid w:val="6FFB8F62"/>
    <w:rsid w:val="73713E00"/>
    <w:rsid w:val="73AC3D33"/>
    <w:rsid w:val="75FB07C7"/>
    <w:rsid w:val="76BDD0E6"/>
    <w:rsid w:val="788F2AF4"/>
    <w:rsid w:val="79FAD799"/>
    <w:rsid w:val="7A192520"/>
    <w:rsid w:val="7C6E2D2D"/>
    <w:rsid w:val="7C7D9BC0"/>
    <w:rsid w:val="7D47D34C"/>
    <w:rsid w:val="7DB4FE92"/>
    <w:rsid w:val="7E4BB59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3B1F6F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8A2C71"/>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ja-JP"/>
    </w:rPr>
  </w:style>
  <w:style w:type="paragraph" w:styleId="Heading1">
    <w:name w:val="heading 1"/>
    <w:next w:val="Normal"/>
    <w:link w:val="Heading1Char"/>
    <w:qFormat/>
    <w:rsid w:val="008A2C7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8A2C71"/>
    <w:pPr>
      <w:pBdr>
        <w:top w:val="none" w:sz="0" w:space="0" w:color="auto"/>
      </w:pBdr>
      <w:spacing w:before="180"/>
      <w:outlineLvl w:val="1"/>
    </w:pPr>
    <w:rPr>
      <w:sz w:val="32"/>
    </w:rPr>
  </w:style>
  <w:style w:type="paragraph" w:styleId="Heading3">
    <w:name w:val="heading 3"/>
    <w:basedOn w:val="Heading2"/>
    <w:next w:val="Normal"/>
    <w:link w:val="Heading3Char"/>
    <w:qFormat/>
    <w:rsid w:val="008A2C71"/>
    <w:pPr>
      <w:spacing w:before="120"/>
      <w:outlineLvl w:val="2"/>
    </w:pPr>
    <w:rPr>
      <w:sz w:val="28"/>
    </w:rPr>
  </w:style>
  <w:style w:type="paragraph" w:styleId="Heading4">
    <w:name w:val="heading 4"/>
    <w:basedOn w:val="Heading3"/>
    <w:next w:val="Normal"/>
    <w:link w:val="Heading4Char"/>
    <w:qFormat/>
    <w:rsid w:val="008A2C71"/>
    <w:pPr>
      <w:ind w:left="1418" w:hanging="1418"/>
      <w:outlineLvl w:val="3"/>
    </w:pPr>
    <w:rPr>
      <w:sz w:val="24"/>
    </w:rPr>
  </w:style>
  <w:style w:type="paragraph" w:styleId="Heading5">
    <w:name w:val="heading 5"/>
    <w:basedOn w:val="Heading4"/>
    <w:next w:val="Normal"/>
    <w:link w:val="Heading5Char"/>
    <w:qFormat/>
    <w:rsid w:val="008A2C71"/>
    <w:pPr>
      <w:ind w:left="1701" w:hanging="1701"/>
      <w:outlineLvl w:val="4"/>
    </w:pPr>
    <w:rPr>
      <w:sz w:val="22"/>
    </w:rPr>
  </w:style>
  <w:style w:type="paragraph" w:styleId="Heading6">
    <w:name w:val="heading 6"/>
    <w:basedOn w:val="H6"/>
    <w:next w:val="Normal"/>
    <w:link w:val="Heading6Char"/>
    <w:qFormat/>
    <w:rsid w:val="008A2C71"/>
    <w:pPr>
      <w:outlineLvl w:val="5"/>
    </w:pPr>
  </w:style>
  <w:style w:type="paragraph" w:styleId="Heading7">
    <w:name w:val="heading 7"/>
    <w:basedOn w:val="H6"/>
    <w:next w:val="Normal"/>
    <w:link w:val="Heading7Char"/>
    <w:qFormat/>
    <w:rsid w:val="008A2C71"/>
    <w:pPr>
      <w:outlineLvl w:val="6"/>
    </w:pPr>
  </w:style>
  <w:style w:type="paragraph" w:styleId="Heading8">
    <w:name w:val="heading 8"/>
    <w:basedOn w:val="Heading1"/>
    <w:next w:val="Normal"/>
    <w:link w:val="Heading8Char"/>
    <w:qFormat/>
    <w:rsid w:val="008A2C71"/>
    <w:pPr>
      <w:ind w:left="0" w:firstLine="0"/>
      <w:outlineLvl w:val="7"/>
    </w:pPr>
  </w:style>
  <w:style w:type="paragraph" w:styleId="Heading9">
    <w:name w:val="heading 9"/>
    <w:basedOn w:val="Heading8"/>
    <w:next w:val="Normal"/>
    <w:link w:val="Heading9Char"/>
    <w:qFormat/>
    <w:rsid w:val="008A2C7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A2C71"/>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8A2C71"/>
    <w:rPr>
      <w:rFonts w:ascii="Arial" w:eastAsia="Times New Roman" w:hAnsi="Arial" w:cs="Times New Roman"/>
      <w:sz w:val="32"/>
      <w:szCs w:val="20"/>
      <w:lang w:val="en-GB" w:eastAsia="ja-JP"/>
    </w:rPr>
  </w:style>
  <w:style w:type="character" w:customStyle="1" w:styleId="Heading3Char">
    <w:name w:val="Heading 3 Char"/>
    <w:basedOn w:val="DefaultParagraphFont"/>
    <w:link w:val="Heading3"/>
    <w:rsid w:val="008A2C71"/>
    <w:rPr>
      <w:rFonts w:ascii="Arial" w:eastAsia="Times New Roman" w:hAnsi="Arial" w:cs="Times New Roman"/>
      <w:sz w:val="28"/>
      <w:szCs w:val="20"/>
      <w:lang w:val="en-GB" w:eastAsia="ja-JP"/>
    </w:rPr>
  </w:style>
  <w:style w:type="character" w:customStyle="1" w:styleId="Heading4Char">
    <w:name w:val="Heading 4 Char"/>
    <w:basedOn w:val="DefaultParagraphFont"/>
    <w:link w:val="Heading4"/>
    <w:rsid w:val="008A2C71"/>
    <w:rPr>
      <w:rFonts w:ascii="Arial" w:eastAsia="Times New Roman" w:hAnsi="Arial" w:cs="Times New Roman"/>
      <w:sz w:val="24"/>
      <w:szCs w:val="20"/>
      <w:lang w:val="en-GB" w:eastAsia="ja-JP"/>
    </w:rPr>
  </w:style>
  <w:style w:type="character" w:customStyle="1" w:styleId="Heading5Char">
    <w:name w:val="Heading 5 Char"/>
    <w:basedOn w:val="DefaultParagraphFont"/>
    <w:link w:val="Heading5"/>
    <w:rsid w:val="008A2C71"/>
    <w:rPr>
      <w:rFonts w:ascii="Arial" w:eastAsia="Times New Roman" w:hAnsi="Arial" w:cs="Times New Roman"/>
      <w:szCs w:val="20"/>
      <w:lang w:val="en-GB" w:eastAsia="ja-JP"/>
    </w:rPr>
  </w:style>
  <w:style w:type="character" w:customStyle="1" w:styleId="Heading6Char">
    <w:name w:val="Heading 6 Char"/>
    <w:basedOn w:val="DefaultParagraphFont"/>
    <w:link w:val="Heading6"/>
    <w:rsid w:val="008A2C71"/>
    <w:rPr>
      <w:rFonts w:ascii="Arial" w:eastAsia="Times New Roman" w:hAnsi="Arial" w:cs="Times New Roman"/>
      <w:sz w:val="20"/>
      <w:szCs w:val="20"/>
      <w:lang w:val="en-GB" w:eastAsia="ja-JP"/>
    </w:rPr>
  </w:style>
  <w:style w:type="character" w:customStyle="1" w:styleId="Heading7Char">
    <w:name w:val="Heading 7 Char"/>
    <w:basedOn w:val="DefaultParagraphFont"/>
    <w:link w:val="Heading7"/>
    <w:rsid w:val="008A2C71"/>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rsid w:val="008A2C71"/>
    <w:rPr>
      <w:rFonts w:ascii="Arial" w:eastAsia="Times New Roman" w:hAnsi="Arial" w:cs="Times New Roman"/>
      <w:sz w:val="36"/>
      <w:szCs w:val="20"/>
      <w:lang w:val="en-GB" w:eastAsia="ja-JP"/>
    </w:rPr>
  </w:style>
  <w:style w:type="character" w:customStyle="1" w:styleId="Heading9Char">
    <w:name w:val="Heading 9 Char"/>
    <w:basedOn w:val="DefaultParagraphFont"/>
    <w:link w:val="Heading9"/>
    <w:rsid w:val="008A2C71"/>
    <w:rPr>
      <w:rFonts w:ascii="Arial" w:eastAsia="Times New Roman" w:hAnsi="Arial" w:cs="Times New Roman"/>
      <w:sz w:val="36"/>
      <w:szCs w:val="20"/>
      <w:lang w:val="en-GB" w:eastAsia="ja-JP"/>
    </w:rPr>
  </w:style>
  <w:style w:type="paragraph" w:styleId="TOC8">
    <w:name w:val="toc 8"/>
    <w:basedOn w:val="TOC1"/>
    <w:uiPriority w:val="39"/>
    <w:rsid w:val="008A2C71"/>
    <w:pPr>
      <w:spacing w:before="180"/>
      <w:ind w:left="2693" w:hanging="2693"/>
    </w:pPr>
    <w:rPr>
      <w:b/>
    </w:rPr>
  </w:style>
  <w:style w:type="paragraph" w:styleId="TOC1">
    <w:name w:val="toc 1"/>
    <w:uiPriority w:val="39"/>
    <w:rsid w:val="008A2C7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Figure">
    <w:name w:val="Figure"/>
    <w:basedOn w:val="Normal"/>
    <w:next w:val="Caption"/>
    <w:rsid w:val="008A2C71"/>
    <w:pPr>
      <w:keepNext/>
      <w:keepLines/>
      <w:spacing w:before="180"/>
      <w:jc w:val="center"/>
    </w:pPr>
  </w:style>
  <w:style w:type="paragraph" w:styleId="Caption">
    <w:name w:val="caption"/>
    <w:basedOn w:val="Normal"/>
    <w:next w:val="Normal"/>
    <w:qFormat/>
    <w:rsid w:val="008A2C71"/>
    <w:pPr>
      <w:spacing w:before="120" w:after="120"/>
    </w:pPr>
    <w:rPr>
      <w:b/>
      <w:lang w:eastAsia="en-GB"/>
    </w:rPr>
  </w:style>
  <w:style w:type="paragraph" w:styleId="TOC5">
    <w:name w:val="toc 5"/>
    <w:basedOn w:val="TOC4"/>
    <w:uiPriority w:val="39"/>
    <w:rsid w:val="008A2C71"/>
    <w:pPr>
      <w:ind w:left="1701" w:hanging="1701"/>
    </w:pPr>
  </w:style>
  <w:style w:type="paragraph" w:styleId="TOC4">
    <w:name w:val="toc 4"/>
    <w:basedOn w:val="TOC3"/>
    <w:uiPriority w:val="39"/>
    <w:rsid w:val="008A2C71"/>
    <w:pPr>
      <w:ind w:left="1418" w:hanging="1418"/>
    </w:pPr>
  </w:style>
  <w:style w:type="paragraph" w:styleId="TOC3">
    <w:name w:val="toc 3"/>
    <w:basedOn w:val="TOC2"/>
    <w:uiPriority w:val="39"/>
    <w:rsid w:val="008A2C71"/>
    <w:pPr>
      <w:ind w:left="1134" w:hanging="1134"/>
    </w:pPr>
  </w:style>
  <w:style w:type="paragraph" w:styleId="TOC2">
    <w:name w:val="toc 2"/>
    <w:basedOn w:val="TOC1"/>
    <w:uiPriority w:val="39"/>
    <w:rsid w:val="008A2C71"/>
    <w:pPr>
      <w:keepNext w:val="0"/>
      <w:spacing w:before="0"/>
      <w:ind w:left="851" w:hanging="851"/>
    </w:pPr>
    <w:rPr>
      <w:sz w:val="20"/>
    </w:rPr>
  </w:style>
  <w:style w:type="paragraph" w:styleId="Index2">
    <w:name w:val="index 2"/>
    <w:basedOn w:val="Index1"/>
    <w:rsid w:val="008A2C71"/>
    <w:pPr>
      <w:ind w:left="284"/>
    </w:pPr>
  </w:style>
  <w:style w:type="paragraph" w:styleId="Index1">
    <w:name w:val="index 1"/>
    <w:basedOn w:val="Normal"/>
    <w:rsid w:val="008A2C71"/>
    <w:pPr>
      <w:keepLines/>
      <w:spacing w:after="0"/>
    </w:pPr>
  </w:style>
  <w:style w:type="paragraph" w:styleId="DocumentMap">
    <w:name w:val="Document Map"/>
    <w:basedOn w:val="Normal"/>
    <w:link w:val="DocumentMapChar"/>
    <w:rsid w:val="008A2C71"/>
    <w:pPr>
      <w:shd w:val="clear" w:color="auto" w:fill="000080"/>
    </w:pPr>
    <w:rPr>
      <w:rFonts w:ascii="Tahoma" w:hAnsi="Tahoma" w:cs="Tahoma"/>
    </w:rPr>
  </w:style>
  <w:style w:type="character" w:customStyle="1" w:styleId="DocumentMapChar">
    <w:name w:val="Document Map Char"/>
    <w:basedOn w:val="DefaultParagraphFont"/>
    <w:link w:val="DocumentMap"/>
    <w:rsid w:val="008A2C71"/>
    <w:rPr>
      <w:rFonts w:ascii="Tahoma" w:eastAsia="Times New Roman" w:hAnsi="Tahoma" w:cs="Tahoma"/>
      <w:sz w:val="20"/>
      <w:szCs w:val="20"/>
      <w:shd w:val="clear" w:color="auto" w:fill="000080"/>
      <w:lang w:eastAsia="ja-JP"/>
    </w:rPr>
  </w:style>
  <w:style w:type="paragraph" w:styleId="ListNumber2">
    <w:name w:val="List Number 2"/>
    <w:basedOn w:val="ListNumber"/>
    <w:rsid w:val="008A2C71"/>
    <w:pPr>
      <w:numPr>
        <w:numId w:val="22"/>
      </w:numPr>
    </w:pPr>
  </w:style>
  <w:style w:type="paragraph" w:styleId="ListNumber">
    <w:name w:val="List Number"/>
    <w:basedOn w:val="List"/>
    <w:rsid w:val="008A2C71"/>
    <w:pPr>
      <w:numPr>
        <w:numId w:val="21"/>
      </w:numPr>
    </w:pPr>
    <w:rPr>
      <w:lang w:eastAsia="ja-JP"/>
    </w:rPr>
  </w:style>
  <w:style w:type="paragraph" w:styleId="List">
    <w:name w:val="List"/>
    <w:basedOn w:val="BodyText"/>
    <w:rsid w:val="008A2C71"/>
    <w:pPr>
      <w:ind w:left="568" w:hanging="284"/>
    </w:pPr>
  </w:style>
  <w:style w:type="paragraph" w:styleId="Header">
    <w:name w:val="header"/>
    <w:link w:val="HeaderChar"/>
    <w:rsid w:val="008A2C71"/>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rsid w:val="008A2C71"/>
    <w:rPr>
      <w:rFonts w:ascii="Arial" w:eastAsia="Times New Roman" w:hAnsi="Arial" w:cs="Times New Roman"/>
      <w:b/>
      <w:noProof/>
      <w:sz w:val="18"/>
      <w:szCs w:val="20"/>
      <w:lang w:val="en-GB" w:eastAsia="ja-JP"/>
    </w:rPr>
  </w:style>
  <w:style w:type="character" w:styleId="FootnoteReference">
    <w:name w:val="footnote reference"/>
    <w:rsid w:val="008A2C71"/>
    <w:rPr>
      <w:b/>
      <w:position w:val="6"/>
      <w:sz w:val="16"/>
    </w:rPr>
  </w:style>
  <w:style w:type="paragraph" w:styleId="FootnoteText">
    <w:name w:val="footnote text"/>
    <w:basedOn w:val="Normal"/>
    <w:link w:val="FootnoteTextChar"/>
    <w:rsid w:val="008A2C71"/>
    <w:pPr>
      <w:keepLines/>
      <w:spacing w:after="0"/>
      <w:ind w:left="454" w:hanging="454"/>
    </w:pPr>
    <w:rPr>
      <w:sz w:val="16"/>
    </w:rPr>
  </w:style>
  <w:style w:type="character" w:customStyle="1" w:styleId="FootnoteTextChar">
    <w:name w:val="Footnote Text Char"/>
    <w:basedOn w:val="DefaultParagraphFont"/>
    <w:link w:val="FootnoteText"/>
    <w:rsid w:val="008A2C71"/>
    <w:rPr>
      <w:rFonts w:ascii="Times New Roman" w:eastAsia="Times New Roman" w:hAnsi="Times New Roman" w:cs="Times New Roman"/>
      <w:sz w:val="16"/>
      <w:szCs w:val="20"/>
      <w:lang w:eastAsia="ja-JP"/>
    </w:rPr>
  </w:style>
  <w:style w:type="paragraph" w:customStyle="1" w:styleId="3GPPHeader">
    <w:name w:val="3GPP_Header"/>
    <w:basedOn w:val="BodyText"/>
    <w:rsid w:val="008A2C71"/>
    <w:pPr>
      <w:tabs>
        <w:tab w:val="left" w:pos="1701"/>
        <w:tab w:val="right" w:pos="9639"/>
      </w:tabs>
      <w:spacing w:after="240"/>
    </w:pPr>
    <w:rPr>
      <w:b/>
      <w:sz w:val="24"/>
    </w:rPr>
  </w:style>
  <w:style w:type="paragraph" w:styleId="TOC9">
    <w:name w:val="toc 9"/>
    <w:basedOn w:val="TOC8"/>
    <w:uiPriority w:val="39"/>
    <w:rsid w:val="008A2C71"/>
    <w:pPr>
      <w:ind w:left="1418" w:hanging="1418"/>
    </w:pPr>
  </w:style>
  <w:style w:type="paragraph" w:styleId="TOC6">
    <w:name w:val="toc 6"/>
    <w:basedOn w:val="TOC5"/>
    <w:next w:val="Normal"/>
    <w:uiPriority w:val="39"/>
    <w:rsid w:val="008A2C71"/>
    <w:pPr>
      <w:ind w:left="1985" w:hanging="1985"/>
    </w:pPr>
  </w:style>
  <w:style w:type="paragraph" w:styleId="TOC7">
    <w:name w:val="toc 7"/>
    <w:basedOn w:val="TOC6"/>
    <w:next w:val="Normal"/>
    <w:uiPriority w:val="39"/>
    <w:rsid w:val="008A2C71"/>
    <w:pPr>
      <w:ind w:left="2268" w:hanging="2268"/>
    </w:pPr>
  </w:style>
  <w:style w:type="paragraph" w:styleId="ListBullet2">
    <w:name w:val="List Bullet 2"/>
    <w:basedOn w:val="ListBullet"/>
    <w:rsid w:val="008A2C71"/>
    <w:pPr>
      <w:numPr>
        <w:numId w:val="17"/>
      </w:numPr>
    </w:pPr>
  </w:style>
  <w:style w:type="paragraph" w:styleId="ListBullet">
    <w:name w:val="List Bullet"/>
    <w:basedOn w:val="List"/>
    <w:rsid w:val="008A2C71"/>
    <w:pPr>
      <w:numPr>
        <w:numId w:val="16"/>
      </w:numPr>
    </w:pPr>
    <w:rPr>
      <w:lang w:eastAsia="ja-JP"/>
    </w:rPr>
  </w:style>
  <w:style w:type="paragraph" w:styleId="ListBullet3">
    <w:name w:val="List Bullet 3"/>
    <w:basedOn w:val="ListBullet2"/>
    <w:rsid w:val="008A2C71"/>
    <w:pPr>
      <w:numPr>
        <w:numId w:val="18"/>
      </w:numPr>
    </w:pPr>
  </w:style>
  <w:style w:type="paragraph" w:customStyle="1" w:styleId="EQ">
    <w:name w:val="EQ"/>
    <w:basedOn w:val="Normal"/>
    <w:next w:val="Normal"/>
    <w:rsid w:val="008A2C71"/>
    <w:pPr>
      <w:keepLines/>
      <w:tabs>
        <w:tab w:val="center" w:pos="4536"/>
        <w:tab w:val="right" w:pos="9072"/>
      </w:tabs>
    </w:pPr>
    <w:rPr>
      <w:noProof/>
    </w:rPr>
  </w:style>
  <w:style w:type="paragraph" w:styleId="List2">
    <w:name w:val="List 2"/>
    <w:basedOn w:val="List"/>
    <w:rsid w:val="008A2C71"/>
    <w:pPr>
      <w:ind w:left="851"/>
    </w:pPr>
    <w:rPr>
      <w:lang w:eastAsia="ja-JP"/>
    </w:rPr>
  </w:style>
  <w:style w:type="paragraph" w:styleId="List3">
    <w:name w:val="List 3"/>
    <w:basedOn w:val="List2"/>
    <w:rsid w:val="008A2C71"/>
    <w:pPr>
      <w:ind w:left="1135"/>
    </w:pPr>
  </w:style>
  <w:style w:type="paragraph" w:styleId="List4">
    <w:name w:val="List 4"/>
    <w:basedOn w:val="List3"/>
    <w:rsid w:val="008A2C71"/>
    <w:pPr>
      <w:ind w:left="1418"/>
    </w:pPr>
  </w:style>
  <w:style w:type="paragraph" w:styleId="List5">
    <w:name w:val="List 5"/>
    <w:basedOn w:val="List4"/>
    <w:rsid w:val="008A2C71"/>
    <w:pPr>
      <w:ind w:left="1702"/>
    </w:pPr>
  </w:style>
  <w:style w:type="paragraph" w:customStyle="1" w:styleId="EditorsNote">
    <w:name w:val="Editor's Note"/>
    <w:basedOn w:val="NO"/>
    <w:link w:val="EditorsNoteChar"/>
    <w:rsid w:val="008A2C71"/>
    <w:rPr>
      <w:color w:val="FF0000"/>
      <w:lang w:val="x-none" w:eastAsia="x-none"/>
    </w:rPr>
  </w:style>
  <w:style w:type="paragraph" w:styleId="ListBullet4">
    <w:name w:val="List Bullet 4"/>
    <w:basedOn w:val="ListBullet3"/>
    <w:rsid w:val="008A2C71"/>
    <w:pPr>
      <w:numPr>
        <w:numId w:val="19"/>
      </w:numPr>
    </w:pPr>
  </w:style>
  <w:style w:type="paragraph" w:styleId="ListBullet5">
    <w:name w:val="List Bullet 5"/>
    <w:basedOn w:val="ListBullet4"/>
    <w:rsid w:val="008A2C71"/>
    <w:pPr>
      <w:numPr>
        <w:numId w:val="20"/>
      </w:numPr>
    </w:pPr>
  </w:style>
  <w:style w:type="paragraph" w:styleId="Footer">
    <w:name w:val="footer"/>
    <w:basedOn w:val="Header"/>
    <w:link w:val="FooterChar"/>
    <w:rsid w:val="008A2C71"/>
    <w:pPr>
      <w:jc w:val="center"/>
    </w:pPr>
    <w:rPr>
      <w:i/>
    </w:rPr>
  </w:style>
  <w:style w:type="character" w:customStyle="1" w:styleId="FooterChar">
    <w:name w:val="Footer Char"/>
    <w:basedOn w:val="DefaultParagraphFont"/>
    <w:link w:val="Footer"/>
    <w:rsid w:val="008A2C71"/>
    <w:rPr>
      <w:rFonts w:ascii="Arial" w:eastAsia="Times New Roman" w:hAnsi="Arial" w:cs="Times New Roman"/>
      <w:b/>
      <w:i/>
      <w:noProof/>
      <w:sz w:val="18"/>
      <w:szCs w:val="20"/>
      <w:lang w:val="en-GB" w:eastAsia="ja-JP"/>
    </w:rPr>
  </w:style>
  <w:style w:type="paragraph" w:customStyle="1" w:styleId="Reference">
    <w:name w:val="Reference"/>
    <w:basedOn w:val="BodyText"/>
    <w:rsid w:val="008A2C71"/>
    <w:pPr>
      <w:numPr>
        <w:numId w:val="2"/>
      </w:numPr>
    </w:pPr>
  </w:style>
  <w:style w:type="paragraph" w:styleId="BalloonText">
    <w:name w:val="Balloon Text"/>
    <w:basedOn w:val="Normal"/>
    <w:link w:val="BalloonTextChar"/>
    <w:rsid w:val="008A2C71"/>
    <w:pPr>
      <w:spacing w:after="0"/>
    </w:pPr>
    <w:rPr>
      <w:rFonts w:ascii="Segoe UI" w:hAnsi="Segoe UI" w:cs="Segoe UI"/>
      <w:sz w:val="18"/>
      <w:szCs w:val="18"/>
    </w:rPr>
  </w:style>
  <w:style w:type="character" w:customStyle="1" w:styleId="BalloonTextChar">
    <w:name w:val="Balloon Text Char"/>
    <w:basedOn w:val="DefaultParagraphFont"/>
    <w:link w:val="BalloonText"/>
    <w:rsid w:val="008A2C71"/>
    <w:rPr>
      <w:rFonts w:ascii="Segoe UI" w:eastAsia="Times New Roman" w:hAnsi="Segoe UI" w:cs="Segoe UI"/>
      <w:sz w:val="18"/>
      <w:szCs w:val="18"/>
      <w:lang w:eastAsia="ja-JP"/>
    </w:rPr>
  </w:style>
  <w:style w:type="character" w:styleId="PageNumber">
    <w:name w:val="page number"/>
    <w:basedOn w:val="DefaultParagraphFont"/>
    <w:rsid w:val="008A2C71"/>
  </w:style>
  <w:style w:type="paragraph" w:styleId="BodyText">
    <w:name w:val="Body Text"/>
    <w:basedOn w:val="Normal"/>
    <w:link w:val="BodyTextChar"/>
    <w:rsid w:val="008A2C71"/>
    <w:pPr>
      <w:spacing w:after="120"/>
      <w:jc w:val="both"/>
    </w:pPr>
    <w:rPr>
      <w:rFonts w:ascii="Arial" w:hAnsi="Arial"/>
      <w:lang w:eastAsia="zh-CN"/>
    </w:rPr>
  </w:style>
  <w:style w:type="character" w:customStyle="1" w:styleId="BodyTextChar">
    <w:name w:val="Body Text Char"/>
    <w:basedOn w:val="DefaultParagraphFont"/>
    <w:link w:val="BodyText"/>
    <w:rsid w:val="008A2C71"/>
    <w:rPr>
      <w:rFonts w:ascii="Arial" w:eastAsia="Times New Roman" w:hAnsi="Arial" w:cs="Times New Roman"/>
      <w:sz w:val="20"/>
      <w:szCs w:val="20"/>
      <w:lang w:eastAsia="zh-CN"/>
    </w:rPr>
  </w:style>
  <w:style w:type="character" w:styleId="Hyperlink">
    <w:name w:val="Hyperlink"/>
    <w:uiPriority w:val="99"/>
    <w:rsid w:val="008A2C71"/>
    <w:rPr>
      <w:color w:val="0000FF"/>
      <w:u w:val="single"/>
    </w:rPr>
  </w:style>
  <w:style w:type="character" w:styleId="FollowedHyperlink">
    <w:name w:val="FollowedHyperlink"/>
    <w:unhideWhenUsed/>
    <w:rsid w:val="008A2C71"/>
    <w:rPr>
      <w:color w:val="800080"/>
      <w:u w:val="single"/>
    </w:rPr>
  </w:style>
  <w:style w:type="character" w:styleId="CommentReference">
    <w:name w:val="annotation reference"/>
    <w:uiPriority w:val="99"/>
    <w:qFormat/>
    <w:rsid w:val="008A2C71"/>
    <w:rPr>
      <w:sz w:val="16"/>
      <w:szCs w:val="16"/>
    </w:rPr>
  </w:style>
  <w:style w:type="paragraph" w:styleId="CommentText">
    <w:name w:val="annotation text"/>
    <w:basedOn w:val="Normal"/>
    <w:link w:val="CommentTextChar"/>
    <w:uiPriority w:val="99"/>
    <w:qFormat/>
    <w:rsid w:val="008A2C71"/>
  </w:style>
  <w:style w:type="character" w:customStyle="1" w:styleId="CommentTextChar">
    <w:name w:val="Comment Text Char"/>
    <w:basedOn w:val="DefaultParagraphFont"/>
    <w:link w:val="CommentText"/>
    <w:uiPriority w:val="99"/>
    <w:qFormat/>
    <w:rsid w:val="008A2C71"/>
    <w:rPr>
      <w:rFonts w:ascii="Times New Roman" w:eastAsia="Times New Roman" w:hAnsi="Times New Roman" w:cs="Times New Roman"/>
      <w:sz w:val="20"/>
      <w:szCs w:val="20"/>
      <w:lang w:eastAsia="ja-JP"/>
    </w:rPr>
  </w:style>
  <w:style w:type="paragraph" w:styleId="CommentSubject">
    <w:name w:val="annotation subject"/>
    <w:basedOn w:val="CommentText"/>
    <w:next w:val="CommentText"/>
    <w:link w:val="CommentSubjectChar"/>
    <w:rsid w:val="008A2C71"/>
    <w:rPr>
      <w:b/>
      <w:bCs/>
    </w:rPr>
  </w:style>
  <w:style w:type="character" w:customStyle="1" w:styleId="CommentSubjectChar">
    <w:name w:val="Comment Subject Char"/>
    <w:basedOn w:val="CommentTextChar"/>
    <w:link w:val="CommentSubject"/>
    <w:rsid w:val="008A2C71"/>
    <w:rPr>
      <w:rFonts w:ascii="Times New Roman" w:eastAsia="Times New Roman" w:hAnsi="Times New Roman" w:cs="Times New Roman"/>
      <w:b/>
      <w:bCs/>
      <w:sz w:val="20"/>
      <w:szCs w:val="20"/>
      <w:lang w:eastAsia="ja-JP"/>
    </w:rPr>
  </w:style>
  <w:style w:type="paragraph" w:customStyle="1" w:styleId="B1">
    <w:name w:val="B1"/>
    <w:basedOn w:val="List"/>
    <w:link w:val="B1Char1"/>
    <w:rsid w:val="008A2C71"/>
    <w:rPr>
      <w:rFonts w:ascii="Times New Roman" w:hAnsi="Times New Roman"/>
    </w:rPr>
  </w:style>
  <w:style w:type="paragraph" w:customStyle="1" w:styleId="B2">
    <w:name w:val="B2"/>
    <w:basedOn w:val="List2"/>
    <w:link w:val="B2Char"/>
    <w:rsid w:val="008A2C71"/>
    <w:rPr>
      <w:rFonts w:ascii="Times New Roman" w:hAnsi="Times New Roman"/>
    </w:rPr>
  </w:style>
  <w:style w:type="paragraph" w:customStyle="1" w:styleId="B3">
    <w:name w:val="B3"/>
    <w:basedOn w:val="List3"/>
    <w:link w:val="B3Char2"/>
    <w:rsid w:val="008A2C71"/>
    <w:rPr>
      <w:rFonts w:ascii="Times New Roman" w:hAnsi="Times New Roman"/>
    </w:rPr>
  </w:style>
  <w:style w:type="paragraph" w:customStyle="1" w:styleId="B4">
    <w:name w:val="B4"/>
    <w:basedOn w:val="List4"/>
    <w:link w:val="B4Char"/>
    <w:rsid w:val="008A2C71"/>
    <w:rPr>
      <w:rFonts w:ascii="Times New Roman" w:hAnsi="Times New Roman"/>
    </w:rPr>
  </w:style>
  <w:style w:type="paragraph" w:customStyle="1" w:styleId="Proposal">
    <w:name w:val="Proposal"/>
    <w:basedOn w:val="BodyText"/>
    <w:qFormat/>
    <w:rsid w:val="008A2C71"/>
    <w:pPr>
      <w:numPr>
        <w:numId w:val="3"/>
      </w:numPr>
      <w:tabs>
        <w:tab w:val="clear" w:pos="1304"/>
        <w:tab w:val="left" w:pos="1701"/>
      </w:tabs>
    </w:pPr>
    <w:rPr>
      <w:b/>
      <w:bCs/>
    </w:rPr>
  </w:style>
  <w:style w:type="paragraph" w:customStyle="1" w:styleId="B5">
    <w:name w:val="B5"/>
    <w:basedOn w:val="List5"/>
    <w:link w:val="B5Char"/>
    <w:rsid w:val="008A2C71"/>
    <w:rPr>
      <w:rFonts w:ascii="Times New Roman" w:hAnsi="Times New Roman"/>
    </w:rPr>
  </w:style>
  <w:style w:type="paragraph" w:customStyle="1" w:styleId="EX">
    <w:name w:val="EX"/>
    <w:basedOn w:val="Normal"/>
    <w:rsid w:val="008A2C71"/>
    <w:pPr>
      <w:keepLines/>
      <w:ind w:left="1702" w:hanging="1418"/>
    </w:pPr>
  </w:style>
  <w:style w:type="paragraph" w:customStyle="1" w:styleId="EW">
    <w:name w:val="EW"/>
    <w:basedOn w:val="EX"/>
    <w:rsid w:val="008A2C71"/>
    <w:pPr>
      <w:spacing w:after="0"/>
    </w:pPr>
  </w:style>
  <w:style w:type="paragraph" w:customStyle="1" w:styleId="TAL">
    <w:name w:val="TAL"/>
    <w:basedOn w:val="Normal"/>
    <w:link w:val="TALCar"/>
    <w:rsid w:val="008A2C71"/>
    <w:pPr>
      <w:keepNext/>
      <w:keepLines/>
      <w:spacing w:after="0"/>
    </w:pPr>
    <w:rPr>
      <w:rFonts w:ascii="Arial" w:hAnsi="Arial"/>
      <w:sz w:val="18"/>
      <w:lang w:val="x-none" w:eastAsia="x-none"/>
    </w:rPr>
  </w:style>
  <w:style w:type="paragraph" w:customStyle="1" w:styleId="TAC">
    <w:name w:val="TAC"/>
    <w:basedOn w:val="TAL"/>
    <w:link w:val="TACChar"/>
    <w:rsid w:val="008A2C71"/>
    <w:pPr>
      <w:jc w:val="center"/>
    </w:pPr>
  </w:style>
  <w:style w:type="paragraph" w:customStyle="1" w:styleId="TAH">
    <w:name w:val="TAH"/>
    <w:basedOn w:val="TAC"/>
    <w:link w:val="TAHCar"/>
    <w:uiPriority w:val="99"/>
    <w:rsid w:val="008A2C71"/>
    <w:rPr>
      <w:b/>
    </w:rPr>
  </w:style>
  <w:style w:type="paragraph" w:customStyle="1" w:styleId="TAN">
    <w:name w:val="TAN"/>
    <w:basedOn w:val="TAL"/>
    <w:link w:val="TANChar"/>
    <w:rsid w:val="008A2C71"/>
    <w:pPr>
      <w:ind w:left="851" w:hanging="851"/>
    </w:pPr>
  </w:style>
  <w:style w:type="paragraph" w:customStyle="1" w:styleId="TAR">
    <w:name w:val="TAR"/>
    <w:basedOn w:val="TAL"/>
    <w:rsid w:val="008A2C71"/>
    <w:pPr>
      <w:jc w:val="right"/>
    </w:pPr>
  </w:style>
  <w:style w:type="paragraph" w:customStyle="1" w:styleId="TH">
    <w:name w:val="TH"/>
    <w:basedOn w:val="Normal"/>
    <w:link w:val="THChar"/>
    <w:rsid w:val="008A2C71"/>
    <w:pPr>
      <w:keepNext/>
      <w:keepLines/>
      <w:spacing w:before="60"/>
      <w:jc w:val="center"/>
    </w:pPr>
    <w:rPr>
      <w:rFonts w:ascii="Arial" w:hAnsi="Arial"/>
      <w:b/>
      <w:lang w:val="x-none" w:eastAsia="x-none"/>
    </w:rPr>
  </w:style>
  <w:style w:type="paragraph" w:customStyle="1" w:styleId="TF">
    <w:name w:val="TF"/>
    <w:basedOn w:val="TH"/>
    <w:link w:val="TFChar"/>
    <w:rsid w:val="008A2C71"/>
    <w:pPr>
      <w:keepNext w:val="0"/>
      <w:spacing w:before="0" w:after="240"/>
    </w:pPr>
  </w:style>
  <w:style w:type="paragraph" w:customStyle="1" w:styleId="TT">
    <w:name w:val="TT"/>
    <w:basedOn w:val="Heading1"/>
    <w:next w:val="Normal"/>
    <w:rsid w:val="008A2C71"/>
    <w:pPr>
      <w:outlineLvl w:val="9"/>
    </w:pPr>
  </w:style>
  <w:style w:type="paragraph" w:customStyle="1" w:styleId="ZA">
    <w:name w:val="ZA"/>
    <w:rsid w:val="008A2C7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8A2C7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8A2C7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G">
    <w:name w:val="ZG"/>
    <w:rsid w:val="008A2C7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character" w:customStyle="1" w:styleId="ZGSM">
    <w:name w:val="ZGSM"/>
    <w:rsid w:val="008A2C71"/>
  </w:style>
  <w:style w:type="paragraph" w:customStyle="1" w:styleId="ZH">
    <w:name w:val="ZH"/>
    <w:rsid w:val="008A2C7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ZT">
    <w:name w:val="ZT"/>
    <w:rsid w:val="008A2C71"/>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customStyle="1" w:styleId="ZTD">
    <w:name w:val="ZTD"/>
    <w:basedOn w:val="ZB"/>
    <w:rsid w:val="008A2C71"/>
    <w:pPr>
      <w:framePr w:hRule="auto" w:wrap="notBeside" w:y="852"/>
    </w:pPr>
    <w:rPr>
      <w:i w:val="0"/>
      <w:sz w:val="40"/>
    </w:rPr>
  </w:style>
  <w:style w:type="paragraph" w:customStyle="1" w:styleId="ZU">
    <w:name w:val="ZU"/>
    <w:rsid w:val="008A2C7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8A2C71"/>
    <w:pPr>
      <w:framePr w:wrap="notBeside" w:y="16161"/>
    </w:pPr>
  </w:style>
  <w:style w:type="paragraph" w:customStyle="1" w:styleId="FP">
    <w:name w:val="FP"/>
    <w:basedOn w:val="Normal"/>
    <w:rsid w:val="008A2C71"/>
    <w:pPr>
      <w:spacing w:after="0"/>
    </w:pPr>
  </w:style>
  <w:style w:type="paragraph" w:customStyle="1" w:styleId="Observation">
    <w:name w:val="Observation"/>
    <w:basedOn w:val="Proposal"/>
    <w:qFormat/>
    <w:rsid w:val="008A2C71"/>
    <w:pPr>
      <w:numPr>
        <w:numId w:val="13"/>
      </w:numPr>
      <w:ind w:left="1701" w:hanging="1701"/>
    </w:pPr>
    <w:rPr>
      <w:lang w:eastAsia="ja-JP"/>
    </w:rPr>
  </w:style>
  <w:style w:type="paragraph" w:styleId="TableofFigures">
    <w:name w:val="table of figures"/>
    <w:basedOn w:val="BodyText"/>
    <w:next w:val="Normal"/>
    <w:uiPriority w:val="99"/>
    <w:rsid w:val="008A2C71"/>
    <w:pPr>
      <w:ind w:left="1701" w:hanging="1701"/>
      <w:jc w:val="left"/>
    </w:pPr>
    <w:rPr>
      <w:b/>
    </w:rPr>
  </w:style>
  <w:style w:type="character" w:customStyle="1" w:styleId="B1Char1">
    <w:name w:val="B1 Char1"/>
    <w:link w:val="B1"/>
    <w:qFormat/>
    <w:rsid w:val="008A2C71"/>
    <w:rPr>
      <w:rFonts w:ascii="Times New Roman" w:eastAsia="Times New Roman" w:hAnsi="Times New Roman" w:cs="Times New Roman"/>
      <w:sz w:val="20"/>
      <w:szCs w:val="20"/>
      <w:lang w:eastAsia="zh-CN"/>
    </w:rPr>
  </w:style>
  <w:style w:type="character" w:customStyle="1" w:styleId="B2Char">
    <w:name w:val="B2 Char"/>
    <w:link w:val="B2"/>
    <w:qFormat/>
    <w:rsid w:val="008A2C71"/>
    <w:rPr>
      <w:rFonts w:ascii="Times New Roman" w:eastAsia="Times New Roman" w:hAnsi="Times New Roman" w:cs="Times New Roman"/>
      <w:sz w:val="20"/>
      <w:szCs w:val="20"/>
      <w:lang w:eastAsia="ja-JP"/>
    </w:rPr>
  </w:style>
  <w:style w:type="character" w:customStyle="1" w:styleId="B3Char2">
    <w:name w:val="B3 Char2"/>
    <w:link w:val="B3"/>
    <w:qFormat/>
    <w:rsid w:val="008A2C71"/>
    <w:rPr>
      <w:rFonts w:ascii="Times New Roman" w:eastAsia="Times New Roman" w:hAnsi="Times New Roman" w:cs="Times New Roman"/>
      <w:sz w:val="20"/>
      <w:szCs w:val="20"/>
      <w:lang w:eastAsia="ja-JP"/>
    </w:rPr>
  </w:style>
  <w:style w:type="character" w:customStyle="1" w:styleId="B4Char">
    <w:name w:val="B4 Char"/>
    <w:link w:val="B4"/>
    <w:rsid w:val="008A2C71"/>
    <w:rPr>
      <w:rFonts w:ascii="Times New Roman" w:eastAsia="Times New Roman" w:hAnsi="Times New Roman" w:cs="Times New Roman"/>
      <w:sz w:val="20"/>
      <w:szCs w:val="20"/>
      <w:lang w:eastAsia="ja-JP"/>
    </w:rPr>
  </w:style>
  <w:style w:type="character" w:customStyle="1" w:styleId="B5Char">
    <w:name w:val="B5 Char"/>
    <w:link w:val="B5"/>
    <w:rsid w:val="008A2C71"/>
    <w:rPr>
      <w:rFonts w:ascii="Times New Roman" w:eastAsia="Times New Roman" w:hAnsi="Times New Roman" w:cs="Times New Roman"/>
      <w:sz w:val="20"/>
      <w:szCs w:val="20"/>
      <w:lang w:eastAsia="ja-JP"/>
    </w:rPr>
  </w:style>
  <w:style w:type="paragraph" w:customStyle="1" w:styleId="B6">
    <w:name w:val="B6"/>
    <w:basedOn w:val="B5"/>
    <w:link w:val="B6Char"/>
    <w:rsid w:val="008A2C71"/>
    <w:pPr>
      <w:ind w:left="1985"/>
    </w:pPr>
  </w:style>
  <w:style w:type="character" w:customStyle="1" w:styleId="B6Char">
    <w:name w:val="B6 Char"/>
    <w:link w:val="B6"/>
    <w:rsid w:val="008A2C71"/>
    <w:rPr>
      <w:rFonts w:ascii="Times New Roman" w:eastAsia="Times New Roman" w:hAnsi="Times New Roman" w:cs="Times New Roman"/>
      <w:sz w:val="20"/>
      <w:szCs w:val="20"/>
      <w:lang w:eastAsia="ja-JP"/>
    </w:rPr>
  </w:style>
  <w:style w:type="paragraph" w:customStyle="1" w:styleId="B7">
    <w:name w:val="B7"/>
    <w:basedOn w:val="B6"/>
    <w:link w:val="B7Char"/>
    <w:rsid w:val="008A2C71"/>
    <w:pPr>
      <w:ind w:left="2269"/>
    </w:pPr>
  </w:style>
  <w:style w:type="character" w:customStyle="1" w:styleId="B7Char">
    <w:name w:val="B7 Char"/>
    <w:basedOn w:val="B6Char"/>
    <w:link w:val="B7"/>
    <w:rsid w:val="008A2C71"/>
    <w:rPr>
      <w:rFonts w:ascii="Times New Roman" w:eastAsia="Times New Roman" w:hAnsi="Times New Roman" w:cs="Times New Roman"/>
      <w:sz w:val="20"/>
      <w:szCs w:val="20"/>
      <w:lang w:eastAsia="ja-JP"/>
    </w:rPr>
  </w:style>
  <w:style w:type="paragraph" w:customStyle="1" w:styleId="B8">
    <w:name w:val="B8"/>
    <w:basedOn w:val="B7"/>
    <w:qFormat/>
    <w:rsid w:val="008A2C71"/>
    <w:pPr>
      <w:ind w:left="2552"/>
    </w:pPr>
  </w:style>
  <w:style w:type="paragraph" w:customStyle="1" w:styleId="CRCoverPage">
    <w:name w:val="CR Cover Page"/>
    <w:link w:val="CRCoverPageZchn"/>
    <w:rsid w:val="008A2C71"/>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8A2C71"/>
    <w:rPr>
      <w:rFonts w:ascii="Arial" w:eastAsia="Times New Roman" w:hAnsi="Arial" w:cs="Times New Roman"/>
      <w:sz w:val="20"/>
      <w:szCs w:val="20"/>
      <w:lang w:val="en-GB" w:eastAsia="ko-KR"/>
    </w:rPr>
  </w:style>
  <w:style w:type="paragraph" w:customStyle="1" w:styleId="Doc-text2">
    <w:name w:val="Doc-text2"/>
    <w:basedOn w:val="Normal"/>
    <w:link w:val="Doc-text2Char"/>
    <w:qFormat/>
    <w:rsid w:val="008A2C71"/>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A2C71"/>
    <w:rPr>
      <w:rFonts w:ascii="Arial" w:eastAsia="MS Mincho" w:hAnsi="Arial" w:cs="Times New Roman"/>
      <w:sz w:val="20"/>
      <w:szCs w:val="24"/>
      <w:lang w:val="x-none" w:eastAsia="x-none"/>
    </w:rPr>
  </w:style>
  <w:style w:type="paragraph" w:customStyle="1" w:styleId="NO">
    <w:name w:val="NO"/>
    <w:basedOn w:val="Normal"/>
    <w:link w:val="NOChar"/>
    <w:rsid w:val="008A2C71"/>
    <w:pPr>
      <w:keepLines/>
      <w:ind w:left="1135" w:hanging="851"/>
    </w:pPr>
  </w:style>
  <w:style w:type="character" w:customStyle="1" w:styleId="NOChar">
    <w:name w:val="NO Char"/>
    <w:link w:val="NO"/>
    <w:qFormat/>
    <w:rsid w:val="008A2C71"/>
    <w:rPr>
      <w:rFonts w:ascii="Times New Roman" w:eastAsia="Times New Roman" w:hAnsi="Times New Roman" w:cs="Times New Roman"/>
      <w:sz w:val="20"/>
      <w:szCs w:val="20"/>
      <w:lang w:eastAsia="ja-JP"/>
    </w:rPr>
  </w:style>
  <w:style w:type="character" w:customStyle="1" w:styleId="EditorsNoteChar">
    <w:name w:val="Editor's Note Char"/>
    <w:link w:val="EditorsNote"/>
    <w:rsid w:val="008A2C71"/>
    <w:rPr>
      <w:rFonts w:ascii="Times New Roman" w:eastAsia="Times New Roman" w:hAnsi="Times New Roman" w:cs="Times New Roman"/>
      <w:color w:val="FF0000"/>
      <w:sz w:val="20"/>
      <w:szCs w:val="20"/>
      <w:lang w:val="x-none" w:eastAsia="x-none"/>
    </w:rPr>
  </w:style>
  <w:style w:type="paragraph" w:customStyle="1" w:styleId="EmailDiscussion">
    <w:name w:val="EmailDiscussion"/>
    <w:basedOn w:val="Normal"/>
    <w:next w:val="Normal"/>
    <w:rsid w:val="008A2C71"/>
    <w:pPr>
      <w:numPr>
        <w:numId w:val="14"/>
      </w:numPr>
      <w:spacing w:before="40" w:after="0"/>
    </w:pPr>
    <w:rPr>
      <w:rFonts w:ascii="Arial" w:eastAsia="MS Mincho" w:hAnsi="Arial"/>
      <w:b/>
      <w:szCs w:val="24"/>
      <w:lang w:eastAsia="en-GB"/>
    </w:rPr>
  </w:style>
  <w:style w:type="character" w:styleId="Emphasis">
    <w:name w:val="Emphasis"/>
    <w:qFormat/>
    <w:rsid w:val="008A2C71"/>
    <w:rPr>
      <w:i/>
      <w:iCs/>
    </w:rPr>
  </w:style>
  <w:style w:type="paragraph" w:customStyle="1" w:styleId="FigureTitle">
    <w:name w:val="Figure_Title"/>
    <w:basedOn w:val="Normal"/>
    <w:next w:val="Normal"/>
    <w:rsid w:val="008A2C71"/>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rsid w:val="008A2C71"/>
    <w:rPr>
      <w:i/>
      <w:color w:val="0000FF"/>
    </w:rPr>
  </w:style>
  <w:style w:type="paragraph" w:customStyle="1" w:styleId="H6">
    <w:name w:val="H6"/>
    <w:basedOn w:val="Heading5"/>
    <w:next w:val="Normal"/>
    <w:rsid w:val="008A2C71"/>
    <w:pPr>
      <w:ind w:left="1985" w:hanging="1985"/>
      <w:outlineLvl w:val="9"/>
    </w:pPr>
    <w:rPr>
      <w:sz w:val="20"/>
    </w:rPr>
  </w:style>
  <w:style w:type="character" w:styleId="HTMLCode">
    <w:name w:val="HTML Code"/>
    <w:uiPriority w:val="99"/>
    <w:unhideWhenUsed/>
    <w:rsid w:val="008A2C71"/>
    <w:rPr>
      <w:rFonts w:ascii="Courier New" w:eastAsia="Times New Roman" w:hAnsi="Courier New" w:cs="Courier New"/>
      <w:sz w:val="20"/>
      <w:szCs w:val="20"/>
    </w:rPr>
  </w:style>
  <w:style w:type="paragraph" w:styleId="IndexHeading">
    <w:name w:val="index heading"/>
    <w:basedOn w:val="Normal"/>
    <w:next w:val="Normal"/>
    <w:rsid w:val="008A2C71"/>
    <w:pPr>
      <w:pBdr>
        <w:top w:val="single" w:sz="12" w:space="0" w:color="auto"/>
      </w:pBdr>
      <w:spacing w:before="360" w:after="240"/>
    </w:pPr>
    <w:rPr>
      <w:b/>
      <w:i/>
      <w:sz w:val="26"/>
      <w:lang w:eastAsia="en-GB"/>
    </w:rPr>
  </w:style>
  <w:style w:type="paragraph" w:customStyle="1" w:styleId="LD">
    <w:name w:val="LD"/>
    <w:rsid w:val="008A2C7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styleId="ListParagraph">
    <w:name w:val="List Paragraph"/>
    <w:basedOn w:val="Normal"/>
    <w:link w:val="ListParagraphChar"/>
    <w:uiPriority w:val="34"/>
    <w:qFormat/>
    <w:rsid w:val="008A2C71"/>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8A2C71"/>
    <w:rPr>
      <w:rFonts w:ascii="Calibri" w:eastAsia="Calibri" w:hAnsi="Calibri" w:cs="Times New Roman"/>
      <w:lang w:val="x-none"/>
    </w:rPr>
  </w:style>
  <w:style w:type="paragraph" w:customStyle="1" w:styleId="NF">
    <w:name w:val="NF"/>
    <w:basedOn w:val="NO"/>
    <w:rsid w:val="008A2C71"/>
    <w:pPr>
      <w:keepNext/>
      <w:spacing w:after="0"/>
    </w:pPr>
    <w:rPr>
      <w:rFonts w:ascii="Arial" w:hAnsi="Arial"/>
      <w:sz w:val="18"/>
    </w:rPr>
  </w:style>
  <w:style w:type="paragraph" w:customStyle="1" w:styleId="NW">
    <w:name w:val="NW"/>
    <w:basedOn w:val="NO"/>
    <w:rsid w:val="008A2C71"/>
    <w:pPr>
      <w:spacing w:after="0"/>
    </w:pPr>
  </w:style>
  <w:style w:type="paragraph" w:customStyle="1" w:styleId="PL">
    <w:name w:val="PL"/>
    <w:link w:val="PLChar"/>
    <w:qFormat/>
    <w:rsid w:val="008A2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8A2C71"/>
    <w:rPr>
      <w:rFonts w:ascii="Courier New" w:eastAsia="Batang" w:hAnsi="Courier New" w:cs="Times New Roman"/>
      <w:noProof/>
      <w:sz w:val="16"/>
      <w:szCs w:val="20"/>
      <w:shd w:val="clear" w:color="auto" w:fill="E6E6E6"/>
      <w:lang w:val="en-GB" w:eastAsia="sv-SE"/>
    </w:rPr>
  </w:style>
  <w:style w:type="paragraph" w:styleId="PlainText">
    <w:name w:val="Plain Text"/>
    <w:basedOn w:val="Normal"/>
    <w:link w:val="PlainTextChar"/>
    <w:rsid w:val="008A2C71"/>
    <w:rPr>
      <w:rFonts w:ascii="Courier New" w:hAnsi="Courier New"/>
      <w:lang w:val="nb-NO"/>
    </w:rPr>
  </w:style>
  <w:style w:type="character" w:customStyle="1" w:styleId="PlainTextChar">
    <w:name w:val="Plain Text Char"/>
    <w:basedOn w:val="DefaultParagraphFont"/>
    <w:link w:val="PlainText"/>
    <w:rsid w:val="008A2C71"/>
    <w:rPr>
      <w:rFonts w:ascii="Courier New" w:eastAsia="Times New Roman" w:hAnsi="Courier New" w:cs="Times New Roman"/>
      <w:sz w:val="20"/>
      <w:szCs w:val="20"/>
      <w:lang w:val="nb-NO" w:eastAsia="ja-JP"/>
    </w:rPr>
  </w:style>
  <w:style w:type="character" w:styleId="Strong">
    <w:name w:val="Strong"/>
    <w:uiPriority w:val="22"/>
    <w:qFormat/>
    <w:rsid w:val="008A2C71"/>
    <w:rPr>
      <w:b/>
      <w:bCs/>
    </w:rPr>
  </w:style>
  <w:style w:type="table" w:styleId="TableGrid">
    <w:name w:val="Table Grid"/>
    <w:basedOn w:val="TableNormal"/>
    <w:uiPriority w:val="39"/>
    <w:rsid w:val="008A2C71"/>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A2C71"/>
    <w:rPr>
      <w:rFonts w:ascii="Arial" w:eastAsia="Times New Roman" w:hAnsi="Arial" w:cs="Times New Roman"/>
      <w:sz w:val="18"/>
      <w:szCs w:val="20"/>
      <w:lang w:val="x-none" w:eastAsia="x-none"/>
    </w:rPr>
  </w:style>
  <w:style w:type="character" w:customStyle="1" w:styleId="TAHCar">
    <w:name w:val="TAH Car"/>
    <w:link w:val="TAH"/>
    <w:uiPriority w:val="99"/>
    <w:qFormat/>
    <w:locked/>
    <w:rsid w:val="008A2C71"/>
    <w:rPr>
      <w:rFonts w:ascii="Arial" w:eastAsia="Times New Roman" w:hAnsi="Arial" w:cs="Times New Roman"/>
      <w:b/>
      <w:sz w:val="18"/>
      <w:szCs w:val="20"/>
      <w:lang w:val="x-none" w:eastAsia="x-none"/>
    </w:rPr>
  </w:style>
  <w:style w:type="character" w:customStyle="1" w:styleId="THChar">
    <w:name w:val="TH Char"/>
    <w:link w:val="TH"/>
    <w:rsid w:val="008A2C71"/>
    <w:rPr>
      <w:rFonts w:ascii="Arial" w:eastAsia="Times New Roman" w:hAnsi="Arial" w:cs="Times New Roman"/>
      <w:b/>
      <w:sz w:val="20"/>
      <w:szCs w:val="20"/>
      <w:lang w:val="x-none" w:eastAsia="x-none"/>
    </w:rPr>
  </w:style>
  <w:style w:type="paragraph" w:customStyle="1" w:styleId="TAJ">
    <w:name w:val="TAJ"/>
    <w:basedOn w:val="TH"/>
    <w:rsid w:val="008A2C71"/>
  </w:style>
  <w:style w:type="paragraph" w:customStyle="1" w:styleId="TALCharChar">
    <w:name w:val="TAL Char Char"/>
    <w:basedOn w:val="Normal"/>
    <w:link w:val="TALCharCharChar"/>
    <w:rsid w:val="008A2C71"/>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A2C71"/>
    <w:rPr>
      <w:rFonts w:ascii="Arial" w:eastAsia="Malgun Gothic" w:hAnsi="Arial" w:cs="Times New Roman"/>
      <w:sz w:val="18"/>
      <w:szCs w:val="20"/>
      <w:lang w:val="x-none" w:eastAsia="x-none"/>
    </w:rPr>
  </w:style>
  <w:style w:type="character" w:customStyle="1" w:styleId="TFChar">
    <w:name w:val="TF Char"/>
    <w:link w:val="TF"/>
    <w:rsid w:val="008A2C71"/>
    <w:rPr>
      <w:rFonts w:ascii="Arial" w:eastAsia="Times New Roman" w:hAnsi="Arial" w:cs="Times New Roman"/>
      <w:b/>
      <w:sz w:val="20"/>
      <w:szCs w:val="20"/>
      <w:lang w:val="x-none" w:eastAsia="x-none"/>
    </w:rPr>
  </w:style>
  <w:style w:type="paragraph" w:styleId="ListContinue">
    <w:name w:val="List Continue"/>
    <w:basedOn w:val="Normal"/>
    <w:rsid w:val="008A2C71"/>
    <w:pPr>
      <w:spacing w:after="120"/>
      <w:ind w:left="283"/>
      <w:contextualSpacing/>
    </w:pPr>
    <w:rPr>
      <w:rFonts w:ascii="Arial" w:hAnsi="Arial"/>
    </w:rPr>
  </w:style>
  <w:style w:type="paragraph" w:styleId="ListContinue2">
    <w:name w:val="List Continue 2"/>
    <w:basedOn w:val="Normal"/>
    <w:rsid w:val="008A2C71"/>
    <w:pPr>
      <w:spacing w:after="120"/>
      <w:ind w:left="566"/>
      <w:contextualSpacing/>
    </w:pPr>
    <w:rPr>
      <w:rFonts w:ascii="Arial" w:hAnsi="Arial"/>
    </w:rPr>
  </w:style>
  <w:style w:type="paragraph" w:styleId="ListNumber3">
    <w:name w:val="List Number 3"/>
    <w:basedOn w:val="ListNumber2"/>
    <w:rsid w:val="008A2C71"/>
    <w:pPr>
      <w:numPr>
        <w:numId w:val="10"/>
      </w:numPr>
      <w:contextualSpacing/>
    </w:pPr>
  </w:style>
  <w:style w:type="paragraph" w:styleId="BlockText">
    <w:name w:val="Block Text"/>
    <w:basedOn w:val="Normal"/>
    <w:rsid w:val="008A2C71"/>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ind w:left="1152" w:right="1152"/>
    </w:pPr>
    <w:rPr>
      <w:rFonts w:eastAsiaTheme="minorEastAsia"/>
      <w:i/>
      <w:iCs/>
      <w:color w:val="4472C4" w:themeColor="accent1"/>
    </w:rPr>
  </w:style>
  <w:style w:type="paragraph" w:styleId="NormalWeb">
    <w:name w:val="Normal (Web)"/>
    <w:basedOn w:val="Normal"/>
    <w:uiPriority w:val="99"/>
    <w:unhideWhenUsed/>
    <w:rsid w:val="008A2C71"/>
    <w:pPr>
      <w:spacing w:before="100" w:beforeAutospacing="1" w:after="100" w:afterAutospacing="1"/>
    </w:pPr>
    <w:rPr>
      <w:sz w:val="24"/>
      <w:szCs w:val="24"/>
    </w:rPr>
  </w:style>
  <w:style w:type="character" w:customStyle="1" w:styleId="cs1-format">
    <w:name w:val="cs1-format"/>
    <w:basedOn w:val="DefaultParagraphFont"/>
    <w:rsid w:val="008A2C71"/>
  </w:style>
  <w:style w:type="character" w:customStyle="1" w:styleId="reference-accessdate">
    <w:name w:val="reference-accessdate"/>
    <w:basedOn w:val="DefaultParagraphFont"/>
    <w:rsid w:val="008A2C71"/>
  </w:style>
  <w:style w:type="character" w:customStyle="1" w:styleId="nowrap">
    <w:name w:val="nowrap"/>
    <w:basedOn w:val="DefaultParagraphFont"/>
    <w:rsid w:val="008A2C71"/>
  </w:style>
  <w:style w:type="character" w:styleId="PlaceholderText">
    <w:name w:val="Placeholder Text"/>
    <w:basedOn w:val="DefaultParagraphFont"/>
    <w:uiPriority w:val="99"/>
    <w:semiHidden/>
    <w:rsid w:val="008A2C71"/>
    <w:rPr>
      <w:color w:val="808080"/>
    </w:rPr>
  </w:style>
  <w:style w:type="character" w:customStyle="1" w:styleId="TACChar">
    <w:name w:val="TAC Char"/>
    <w:link w:val="TAC"/>
    <w:qFormat/>
    <w:locked/>
    <w:rsid w:val="008A2C71"/>
    <w:rPr>
      <w:rFonts w:ascii="Arial" w:eastAsia="Times New Roman" w:hAnsi="Arial" w:cs="Times New Roman"/>
      <w:sz w:val="18"/>
      <w:szCs w:val="20"/>
      <w:lang w:val="x-none" w:eastAsia="x-none"/>
    </w:rPr>
  </w:style>
  <w:style w:type="paragraph" w:styleId="Revision">
    <w:name w:val="Revision"/>
    <w:hidden/>
    <w:uiPriority w:val="99"/>
    <w:semiHidden/>
    <w:rsid w:val="008A2C71"/>
    <w:pPr>
      <w:spacing w:after="0" w:line="240" w:lineRule="auto"/>
    </w:pPr>
    <w:rPr>
      <w:rFonts w:ascii="Times New Roman" w:eastAsia="Times New Roman" w:hAnsi="Times New Roman" w:cs="Times New Roman"/>
      <w:sz w:val="20"/>
      <w:szCs w:val="20"/>
      <w:lang w:val="en-GB" w:eastAsia="ja-JP"/>
    </w:rPr>
  </w:style>
  <w:style w:type="paragraph" w:customStyle="1" w:styleId="Default">
    <w:name w:val="Default"/>
    <w:rsid w:val="008A2C71"/>
    <w:pPr>
      <w:autoSpaceDE w:val="0"/>
      <w:autoSpaceDN w:val="0"/>
      <w:adjustRightInd w:val="0"/>
      <w:spacing w:after="0" w:line="240" w:lineRule="auto"/>
    </w:pPr>
    <w:rPr>
      <w:rFonts w:ascii="Arial" w:hAnsi="Arial" w:cs="Arial"/>
      <w:color w:val="000000"/>
      <w:sz w:val="24"/>
      <w:szCs w:val="24"/>
    </w:rPr>
  </w:style>
  <w:style w:type="character" w:customStyle="1" w:styleId="TANChar">
    <w:name w:val="TAN Char"/>
    <w:link w:val="TAN"/>
    <w:locked/>
    <w:rsid w:val="002E63AF"/>
    <w:rPr>
      <w:rFonts w:ascii="Arial" w:eastAsia="Times New Roman" w:hAnsi="Arial" w:cs="Times New Roman"/>
      <w:sz w:val="18"/>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tiff"/><Relationship Id="rId39" Type="http://schemas.openxmlformats.org/officeDocument/2006/relationships/image" Target="media/image28.wmf"/><Relationship Id="rId3" Type="http://schemas.openxmlformats.org/officeDocument/2006/relationships/customXml" Target="../customXml/item3.xml"/><Relationship Id="rId21" Type="http://schemas.openxmlformats.org/officeDocument/2006/relationships/image" Target="media/image12.emf"/><Relationship Id="rId34" Type="http://schemas.openxmlformats.org/officeDocument/2006/relationships/image" Target="media/image24.wmf"/><Relationship Id="rId42" Type="http://schemas.openxmlformats.org/officeDocument/2006/relationships/hyperlink" Target="http://cp.literature.agilent.com/litweb/pdf/5990-9697EN.pdf" TargetMode="Externa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tiff"/><Relationship Id="rId33" Type="http://schemas.openxmlformats.org/officeDocument/2006/relationships/oleObject" Target="embeddings/oleObject1.bin"/><Relationship Id="rId38" Type="http://schemas.openxmlformats.org/officeDocument/2006/relationships/image" Target="media/image27.wmf"/><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tiff"/><Relationship Id="rId41" Type="http://schemas.openxmlformats.org/officeDocument/2006/relationships/hyperlink" Target="https://en.wikipedia.org/wiki/Agilent"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3.wmf"/><Relationship Id="rId37" Type="http://schemas.openxmlformats.org/officeDocument/2006/relationships/image" Target="media/image26.wmf"/><Relationship Id="rId40" Type="http://schemas.openxmlformats.org/officeDocument/2006/relationships/image" Target="media/image29.wmf"/><Relationship Id="rId45"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tiff"/><Relationship Id="rId36" Type="http://schemas.openxmlformats.org/officeDocument/2006/relationships/image" Target="media/image25.wmf"/><Relationship Id="rId10" Type="http://schemas.openxmlformats.org/officeDocument/2006/relationships/image" Target="media/image1.emf"/><Relationship Id="rId19" Type="http://schemas.openxmlformats.org/officeDocument/2006/relationships/image" Target="media/image10.emf"/><Relationship Id="rId31" Type="http://schemas.openxmlformats.org/officeDocument/2006/relationships/image" Target="media/image22.tiff"/><Relationship Id="rId4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tiff"/><Relationship Id="rId30" Type="http://schemas.openxmlformats.org/officeDocument/2006/relationships/image" Target="media/image21.tiff"/><Relationship Id="rId35" Type="http://schemas.openxmlformats.org/officeDocument/2006/relationships/oleObject" Target="embeddings/oleObject2.bin"/><Relationship Id="rId43" Type="http://schemas.openxmlformats.org/officeDocument/2006/relationships/hyperlink" Target="https://en.wikipedia.org/wiki/Rohde_%26_Schwarz"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20C770C-47B9-40F0-AE3C-65C874F35B5F}">
  <ds:schemaRefs>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9b239327-9e80-40e4-b1b7-4394fed77a33"/>
    <ds:schemaRef ds:uri="2f282d3b-eb4a-4b09-b61f-b9593442e286"/>
    <ds:schemaRef ds:uri="http://www.w3.org/XML/1998/namespace"/>
    <ds:schemaRef ds:uri="http://purl.org/dc/terms/"/>
  </ds:schemaRefs>
</ds:datastoreItem>
</file>

<file path=customXml/itemProps2.xml><?xml version="1.0" encoding="utf-8"?>
<ds:datastoreItem xmlns:ds="http://schemas.openxmlformats.org/officeDocument/2006/customXml" ds:itemID="{C0064866-15C8-4E82-800E-FA249B931531}">
  <ds:schemaRefs>
    <ds:schemaRef ds:uri="http://schemas.microsoft.com/sharepoint/v3/contenttype/forms"/>
  </ds:schemaRefs>
</ds:datastoreItem>
</file>

<file path=customXml/itemProps3.xml><?xml version="1.0" encoding="utf-8"?>
<ds:datastoreItem xmlns:ds="http://schemas.openxmlformats.org/officeDocument/2006/customXml" ds:itemID="{34683CD0-567E-46D2-8765-841C9A9838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8104</Words>
  <Characters>46199</Characters>
  <Application>Microsoft Office Word</Application>
  <DocSecurity>0</DocSecurity>
  <Lines>384</Lines>
  <Paragraphs>108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2020-05-16T03:35:00Z</dcterms:created>
  <dcterms:modified xsi:type="dcterms:W3CDTF">2020-05-16T03:42:00Z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